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45AF59E8" w:rsidR="009D60D5" w:rsidRPr="001B5605" w:rsidRDefault="00CA6F16"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B71FC7">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33A342C" w:rsidR="00C2145A" w:rsidRPr="001B5605" w:rsidRDefault="00C2145A" w:rsidP="00357B46">
            <w:pPr>
              <w:rPr>
                <w:rFonts w:asciiTheme="minorHAnsi" w:hAnsiTheme="minorHAnsi"/>
                <w:b/>
                <w:sz w:val="24"/>
              </w:rPr>
            </w:pPr>
            <w:r w:rsidRPr="0057277D">
              <w:rPr>
                <w:rFonts w:asciiTheme="minorHAnsi" w:hAnsiTheme="minorHAnsi"/>
                <w:b/>
                <w:bCs/>
                <w:smallCaps/>
                <w:sz w:val="24"/>
                <w:lang w:val="en"/>
              </w:rPr>
              <w:t>Number</w:t>
            </w:r>
            <w:r>
              <w:rPr>
                <w:rFonts w:asciiTheme="minorHAnsi" w:hAnsiTheme="minorHAnsi"/>
                <w:b/>
                <w:bCs/>
                <w:smallCaps/>
                <w:sz w:val="24"/>
                <w:lang w:val="en"/>
              </w:rPr>
              <w:t xml:space="preserve">: </w:t>
            </w:r>
            <w:r w:rsidR="0033560F">
              <w:rPr>
                <w:rFonts w:asciiTheme="minorHAnsi" w:hAnsiTheme="minorHAnsi"/>
                <w:b/>
                <w:bCs/>
                <w:smallCaps/>
                <w:sz w:val="24"/>
                <w:lang w:val="en"/>
              </w:rPr>
              <w:t>25-MR-7238</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8772D7"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1AD158E5" w:rsidR="00741D2D" w:rsidRPr="008433C7" w:rsidRDefault="0035453E" w:rsidP="00996FEA">
            <w:pPr>
              <w:rPr>
                <w:rFonts w:asciiTheme="minorHAnsi" w:hAnsiTheme="minorHAnsi" w:cs="Arial"/>
                <w:sz w:val="24"/>
                <w:lang w:val="en-GB"/>
              </w:rPr>
            </w:pPr>
            <w:r w:rsidRPr="0035453E">
              <w:rPr>
                <w:rFonts w:asciiTheme="minorHAnsi" w:hAnsiTheme="minorHAnsi" w:cs="Arial"/>
                <w:sz w:val="24"/>
                <w:lang w:val="en-GB"/>
              </w:rPr>
              <w:t>Project development and access to finance for Nature-Based Solutions</w:t>
            </w:r>
          </w:p>
        </w:tc>
      </w:tr>
      <w:tr w:rsidR="008714BB" w:rsidRPr="008772D7"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680B3687" w:rsidR="00741D2D" w:rsidRPr="00263FD0" w:rsidRDefault="00BB41F9" w:rsidP="00E953FE">
            <w:pPr>
              <w:rPr>
                <w:rFonts w:asciiTheme="minorHAnsi" w:hAnsiTheme="minorHAnsi" w:cs="Arial"/>
                <w:sz w:val="24"/>
                <w:lang w:val="en-GB"/>
              </w:rPr>
            </w:pPr>
            <w:r w:rsidRPr="00BB41F9">
              <w:rPr>
                <w:rFonts w:asciiTheme="minorHAnsi" w:hAnsiTheme="minorHAnsi" w:cs="Arial"/>
                <w:i/>
                <w:iCs/>
                <w:sz w:val="24"/>
                <w:highlight w:val="yellow"/>
                <w:lang w:val="en"/>
              </w:rPr>
              <w:t>TBC</w:t>
            </w:r>
          </w:p>
        </w:tc>
      </w:tr>
      <w:tr w:rsidR="008714BB" w:rsidRPr="008772D7"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8772D7" w14:paraId="6400F2BE" w14:textId="77777777" w:rsidTr="003D7CE1">
              <w:trPr>
                <w:trHeight w:val="702"/>
              </w:trPr>
              <w:tc>
                <w:tcPr>
                  <w:tcW w:w="4644" w:type="dxa"/>
                  <w:shd w:val="clear" w:color="auto" w:fill="D9D9D9" w:themeFill="background1" w:themeFillShade="D9"/>
                  <w:vAlign w:val="center"/>
                </w:tcPr>
                <w:p w14:paraId="1D29B491" w14:textId="3CFAC179"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sidR="0089599F" w:rsidRPr="0089599F">
                    <w:rPr>
                      <w:rFonts w:asciiTheme="minorHAnsi" w:hAnsiTheme="minorHAnsi"/>
                      <w:smallCaps/>
                      <w:sz w:val="22"/>
                      <w:szCs w:val="22"/>
                      <w:highlight w:val="yellow"/>
                      <w:lang w:val="en"/>
                    </w:rPr>
                    <w:t>TBC</w:t>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59AECC4F" w:rsidR="00554974" w:rsidRPr="00B71FC7" w:rsidRDefault="00B71FC7"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801ECC" w:rsidRPr="00B71FC7">
              <w:rPr>
                <w:rFonts w:asciiTheme="minorHAnsi" w:hAnsiTheme="minorHAnsi"/>
                <w:sz w:val="22"/>
                <w:szCs w:val="22"/>
                <w:lang w:val="en"/>
              </w:rPr>
              <w:t>adapted procedure in application of Articles L. 2123-1 an</w:t>
            </w:r>
            <w:r>
              <w:rPr>
                <w:rFonts w:asciiTheme="minorHAnsi" w:hAnsiTheme="minorHAnsi"/>
                <w:sz w:val="22"/>
                <w:szCs w:val="22"/>
                <w:lang w:val="en"/>
              </w:rPr>
              <w:t>d R. 2123-1 to R. 2123-7 of CCP.</w:t>
            </w:r>
          </w:p>
          <w:p w14:paraId="012CC13F" w14:textId="7395C5EC"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CA6F16">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CA6F16">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CA6F16">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CA6F16">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CA6F16">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CA6F16">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CA6F16">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CA6F16">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CA6F16">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CA6F16">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CA6F16">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CA6F16">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CA6F16">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CA6F16">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CA6F16">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CA6F16">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CA6F16">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CA6F16">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CA6F16">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CA6F16">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CA6F16">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CA6F16">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CA6F16">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CA6F16">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CA6F16">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CA6F16">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CA6F16">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CA6F16">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CA6F16">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CA6F16">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CA6F16">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CA6F16">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CA6F16">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CA6F16">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CA6F16">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CA6F16">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CA6F16">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CA6F16">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CA6F16">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CA6F16">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CA6F16">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CA6F16">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B11E6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B11E67">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8772D7" w14:paraId="023156E3" w14:textId="77777777" w:rsidTr="00DE1070">
        <w:tc>
          <w:tcPr>
            <w:tcW w:w="9886" w:type="dxa"/>
          </w:tcPr>
          <w:p w14:paraId="1A5E2E2F" w14:textId="33798527" w:rsidR="00DE1070" w:rsidRPr="003115EA" w:rsidRDefault="00DE1070" w:rsidP="00DE1070">
            <w:pPr>
              <w:pStyle w:val="a"/>
              <w:widowControl w:val="0"/>
              <w:rPr>
                <w:rFonts w:asciiTheme="minorHAnsi" w:hAnsiTheme="minorHAnsi" w:cstheme="minorHAnsi"/>
                <w:b/>
                <w:smallCaps/>
                <w:szCs w:val="22"/>
                <w:u w:val="single"/>
                <w:lang w:val="en-GB"/>
              </w:rPr>
            </w:pPr>
            <w:r w:rsidRPr="00D27D8A">
              <w:rPr>
                <w:rFonts w:asciiTheme="minorHAnsi" w:hAnsiTheme="minorHAnsi" w:cstheme="minorHAnsi"/>
                <w:b/>
                <w:bCs/>
                <w:smallCaps/>
                <w:szCs w:val="22"/>
                <w:u w:val="single"/>
                <w:lang w:val="en"/>
              </w:rPr>
              <w:t>co-contracting party’s name</w:t>
            </w:r>
            <w:r w:rsidR="00D27D8A">
              <w:rPr>
                <w:rFonts w:asciiTheme="minorHAnsi" w:hAnsiTheme="minorHAnsi" w:cstheme="minorHAnsi"/>
                <w:b/>
                <w:bCs/>
                <w:smallCaps/>
                <w:szCs w:val="22"/>
                <w:u w:val="single"/>
                <w:lang w:val="en"/>
              </w:rPr>
              <w:t xml:space="preserve"> </w:t>
            </w:r>
            <w:r w:rsidR="00D27D8A" w:rsidRPr="00D27D8A">
              <w:rPr>
                <w:rFonts w:asciiTheme="minorHAnsi" w:hAnsiTheme="minorHAnsi" w:cstheme="minorHAnsi"/>
                <w:b/>
                <w:bCs/>
                <w:smallCaps/>
                <w:szCs w:val="22"/>
                <w:highlight w:val="yellow"/>
                <w:u w:val="single"/>
                <w:lang w:val="en"/>
              </w:rPr>
              <w:t>TBC</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B11E67">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B11E67">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B11E67">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91964DC"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71359C">
        <w:rPr>
          <w:rFonts w:asciiTheme="minorHAnsi" w:hAnsiTheme="minorHAnsi" w:cstheme="minorHAnsi"/>
          <w:sz w:val="22"/>
          <w:lang w:val="en-GB"/>
        </w:rPr>
        <w:t xml:space="preserve">05/04/2023 between </w:t>
      </w:r>
      <w:r w:rsidR="0071359C">
        <w:rPr>
          <w:rFonts w:asciiTheme="minorHAnsi" w:eastAsia="Times New Roman" w:hAnsiTheme="minorHAnsi" w:cs="Calibri"/>
          <w:sz w:val="22"/>
          <w:lang w:val="en-GB"/>
        </w:rPr>
        <w:t>European Union and Expertise France</w:t>
      </w:r>
      <w:r w:rsidR="00FF65F7">
        <w:rPr>
          <w:rFonts w:asciiTheme="minorHAnsi" w:hAnsiTheme="minorHAnsi" w:cstheme="minorHAnsi"/>
          <w:sz w:val="22"/>
          <w:lang w:val="en"/>
        </w:rPr>
        <w:t xml:space="preserve">, covering </w:t>
      </w:r>
      <w:r w:rsidR="00541662">
        <w:rPr>
          <w:rFonts w:asciiTheme="minorHAnsi" w:eastAsia="Times New Roman" w:hAnsiTheme="minorHAnsi" w:cs="Calibri"/>
          <w:sz w:val="22"/>
          <w:szCs w:val="22"/>
          <w:lang w:val="en-GB"/>
        </w:rPr>
        <w:t>the EU Green Policy Dialogue Facility</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B11E6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09B9863C"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7A0E1E" w:rsidRPr="007A0E1E">
        <w:rPr>
          <w:rFonts w:asciiTheme="minorHAnsi" w:hAnsiTheme="minorHAnsi" w:cs="Arial"/>
          <w:i/>
          <w:iCs/>
          <w:lang w:val="en"/>
        </w:rPr>
        <w:t>Project development and access to finance for Nature-Based Solutions</w:t>
      </w:r>
      <w:r w:rsidR="00841836" w:rsidRPr="00841836">
        <w:rPr>
          <w:rFonts w:asciiTheme="minorHAnsi" w:hAnsiTheme="minorHAnsi" w:cs="Arial"/>
          <w:i/>
          <w:iCs/>
          <w:lang w:val="en"/>
        </w:rPr>
        <w:t xml:space="preserve"> </w:t>
      </w:r>
      <w:r w:rsidRPr="00F2235E">
        <w:rPr>
          <w:rFonts w:asciiTheme="minorHAnsi" w:hAnsiTheme="minorHAnsi" w:cs="Arial"/>
          <w:lang w:val="en"/>
        </w:rPr>
        <w:t>“.</w:t>
      </w:r>
    </w:p>
    <w:p w14:paraId="0E52074F" w14:textId="2A31EF8B" w:rsidR="001726C5" w:rsidRPr="00F2235E" w:rsidRDefault="001726C5" w:rsidP="00B11E6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B11E67">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B11E67">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B11E67">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A408C28" w:rsidR="00110630" w:rsidRPr="00F2235E" w:rsidRDefault="00110630" w:rsidP="00B11E67">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attached: purchase order model)]; </w:t>
      </w:r>
    </w:p>
    <w:p w14:paraId="2A2D5D68" w14:textId="43FDB3A2" w:rsidR="00663C0B" w:rsidRPr="00F2235E" w:rsidRDefault="00663C0B" w:rsidP="00B11E67">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35FF6351" w:rsidR="00996FEA" w:rsidRPr="00F2235E" w:rsidRDefault="00861444" w:rsidP="00B11E67">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B11E67">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B11E67">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810E60B"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F316C1">
        <w:rPr>
          <w:rFonts w:asciiTheme="minorHAnsi" w:hAnsiTheme="minorHAnsi" w:cstheme="minorHAnsi"/>
          <w:szCs w:val="22"/>
          <w:lang w:val="en"/>
        </w:rPr>
        <w:t xml:space="preserve"> is a public contract for </w:t>
      </w:r>
      <w:r w:rsidRPr="000D19AC">
        <w:rPr>
          <w:rFonts w:asciiTheme="minorHAnsi" w:hAnsiTheme="minorHAnsi" w:cstheme="minorHAnsi"/>
          <w:szCs w:val="22"/>
          <w:lang w:val="en"/>
        </w:rPr>
        <w:t>services</w:t>
      </w:r>
      <w:r w:rsidR="00F316C1">
        <w:rPr>
          <w:rFonts w:asciiTheme="minorHAnsi" w:hAnsiTheme="minorHAnsi" w:cstheme="minorHAnsi"/>
          <w:szCs w:val="22"/>
          <w:lang w:val="en"/>
        </w:rPr>
        <w:t xml:space="preserve"> at fixed and total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5EB7D88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8E5C58">
        <w:rPr>
          <w:rFonts w:asciiTheme="minorHAnsi" w:hAnsiTheme="minorHAnsi" w:cstheme="minorHAnsi"/>
          <w:szCs w:val="22"/>
          <w:lang w:val="en"/>
        </w:rPr>
        <w:t>13</w:t>
      </w:r>
      <w:r w:rsidR="001C717F">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B11E6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3" w:name="_Toc140836313"/>
      <w:r w:rsidRPr="00F41A62">
        <w:rPr>
          <w:rFonts w:asciiTheme="minorHAnsi" w:hAnsiTheme="minorHAnsi"/>
          <w:b/>
          <w:bCs/>
          <w:caps/>
          <w:sz w:val="24"/>
          <w:u w:val="single"/>
          <w:lang w:val="en"/>
        </w:rPr>
        <w:t>Financial provisions</w:t>
      </w:r>
      <w:bookmarkEnd w:id="13"/>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4" w:name="_Toc524095228"/>
      <w:bookmarkStart w:id="15" w:name="_Toc392669634"/>
      <w:bookmarkStart w:id="16" w:name="_Toc140836314"/>
      <w:r w:rsidRPr="00F41A62">
        <w:rPr>
          <w:rFonts w:asciiTheme="minorHAnsi" w:hAnsiTheme="minorHAnsi" w:cstheme="minorHAnsi"/>
          <w:sz w:val="22"/>
          <w:szCs w:val="22"/>
          <w:lang w:val="en"/>
        </w:rPr>
        <w:t>Amount of the Contract</w:t>
      </w:r>
      <w:bookmarkEnd w:id="14"/>
      <w:bookmarkEnd w:id="15"/>
      <w:bookmarkEnd w:id="16"/>
    </w:p>
    <w:p w14:paraId="22404FA9" w14:textId="5423E36B" w:rsidR="00D266D5" w:rsidRPr="00F41A62" w:rsidRDefault="00D266D5" w:rsidP="00D266D5">
      <w:pPr>
        <w:pStyle w:val="u"/>
        <w:widowControl w:val="0"/>
        <w:numPr>
          <w:ilvl w:val="12"/>
          <w:numId w:val="0"/>
        </w:numPr>
        <w:spacing w:before="240" w:after="120"/>
        <w:ind w:left="561"/>
        <w:jc w:val="left"/>
        <w:rPr>
          <w:rFonts w:asciiTheme="minorHAnsi" w:hAnsiTheme="minorHAnsi" w:cstheme="minorHAnsi"/>
          <w:szCs w:val="22"/>
          <w:lang w:val="en-GB"/>
        </w:rPr>
      </w:pPr>
      <w:bookmarkStart w:id="17" w:name="_Toc140836315"/>
      <w:bookmarkStart w:id="18" w:name="_Toc392669637"/>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183CD9F1" w14:textId="460F514D" w:rsidR="00D266D5" w:rsidRPr="00F41A62" w:rsidRDefault="00D266D5" w:rsidP="00D266D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r w:rsidRPr="00722AD6">
        <w:rPr>
          <w:rFonts w:asciiTheme="minorHAnsi" w:hAnsiTheme="minorHAnsi" w:cstheme="minorHAnsi"/>
          <w:sz w:val="22"/>
          <w:szCs w:val="22"/>
          <w:lang w:val="en"/>
        </w:rPr>
        <w:t>Form of prices</w:t>
      </w:r>
      <w:bookmarkEnd w:id="17"/>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19" w:name="_Toc140836316"/>
      <w:r>
        <w:rPr>
          <w:rFonts w:asciiTheme="minorHAnsi" w:hAnsiTheme="minorHAnsi" w:cstheme="minorHAnsi"/>
          <w:sz w:val="22"/>
          <w:szCs w:val="22"/>
          <w:lang w:val="en"/>
        </w:rPr>
        <w:t>Advance</w:t>
      </w:r>
      <w:bookmarkEnd w:id="19"/>
    </w:p>
    <w:p w14:paraId="0A9A3EEE" w14:textId="220D9E96" w:rsidR="00673D24" w:rsidRDefault="008E5C58" w:rsidP="00673D24">
      <w:pPr>
        <w:pStyle w:val="u"/>
        <w:widowControl w:val="0"/>
        <w:numPr>
          <w:ilvl w:val="12"/>
          <w:numId w:val="0"/>
        </w:numPr>
        <w:spacing w:after="120"/>
        <w:ind w:left="561"/>
        <w:jc w:val="left"/>
        <w:rPr>
          <w:rFonts w:asciiTheme="minorHAnsi" w:hAnsiTheme="minorHAnsi" w:cstheme="minorHAnsi"/>
          <w:szCs w:val="22"/>
          <w:lang w:val="en"/>
        </w:rPr>
      </w:pPr>
      <w:bookmarkStart w:id="20" w:name="_Toc140836317"/>
      <w:r>
        <w:rPr>
          <w:rFonts w:asciiTheme="minorHAnsi" w:hAnsiTheme="minorHAnsi" w:cstheme="minorHAnsi"/>
          <w:szCs w:val="22"/>
          <w:lang w:val="en"/>
        </w:rPr>
        <w:t>No advance is granted.</w:t>
      </w:r>
    </w:p>
    <w:p w14:paraId="71B7D074" w14:textId="77777777" w:rsidR="008772D7" w:rsidRPr="008772D7" w:rsidRDefault="008772D7" w:rsidP="008772D7">
      <w:pPr>
        <w:pStyle w:val="Titre2"/>
        <w:spacing w:before="120" w:after="60"/>
        <w:rPr>
          <w:rFonts w:asciiTheme="minorHAnsi" w:hAnsiTheme="minorHAnsi" w:cstheme="minorHAnsi"/>
          <w:sz w:val="22"/>
          <w:szCs w:val="22"/>
          <w:lang w:val="en"/>
        </w:rPr>
      </w:pPr>
      <w:r w:rsidRPr="008772D7">
        <w:rPr>
          <w:rFonts w:asciiTheme="minorHAnsi" w:hAnsiTheme="minorHAnsi" w:cstheme="minorHAnsi"/>
          <w:sz w:val="22"/>
          <w:szCs w:val="22"/>
          <w:lang w:val="en"/>
        </w:rPr>
        <w:t>Payment procedure</w:t>
      </w:r>
    </w:p>
    <w:p w14:paraId="33C4F26B" w14:textId="6725F988" w:rsidR="008772D7" w:rsidRPr="008772D7" w:rsidRDefault="008772D7" w:rsidP="008772D7">
      <w:pPr>
        <w:pStyle w:val="u"/>
        <w:widowControl w:val="0"/>
        <w:numPr>
          <w:ilvl w:val="0"/>
          <w:numId w:val="23"/>
        </w:numPr>
        <w:spacing w:after="120"/>
        <w:rPr>
          <w:rFonts w:asciiTheme="minorHAnsi" w:hAnsiTheme="minorHAnsi" w:cstheme="minorHAnsi"/>
          <w:b/>
          <w:szCs w:val="22"/>
          <w:lang w:val="en-GB"/>
        </w:rPr>
      </w:pPr>
      <w:r w:rsidRPr="008772D7">
        <w:rPr>
          <w:rFonts w:asciiTheme="minorHAnsi" w:hAnsiTheme="minorHAnsi" w:cstheme="minorHAnsi"/>
          <w:b/>
          <w:szCs w:val="22"/>
          <w:lang w:val="en-GB"/>
        </w:rPr>
        <w:t>Interim payment</w:t>
      </w:r>
    </w:p>
    <w:p w14:paraId="2594CB83" w14:textId="2BAFA27E" w:rsidR="008772D7" w:rsidRPr="008772D7" w:rsidRDefault="008772D7" w:rsidP="00D14C5D">
      <w:pPr>
        <w:pStyle w:val="u"/>
        <w:widowControl w:val="0"/>
        <w:numPr>
          <w:ilvl w:val="12"/>
          <w:numId w:val="0"/>
        </w:numPr>
        <w:spacing w:after="120"/>
        <w:rPr>
          <w:rFonts w:asciiTheme="minorHAnsi" w:hAnsiTheme="minorHAnsi" w:cstheme="minorHAnsi"/>
          <w:szCs w:val="22"/>
          <w:lang w:val="en-GB"/>
        </w:rPr>
      </w:pPr>
      <w:bookmarkStart w:id="21" w:name="_GoBack"/>
      <w:bookmarkEnd w:id="21"/>
      <w:r w:rsidRPr="008772D7">
        <w:rPr>
          <w:rFonts w:asciiTheme="minorHAnsi" w:hAnsiTheme="minorHAnsi" w:cstheme="minorHAnsi"/>
          <w:szCs w:val="22"/>
          <w:lang w:val="en-GB"/>
        </w:rPr>
        <w:t xml:space="preserve">Delivery of the services due under of the CONTRACT establishes entitlement to an </w:t>
      </w:r>
      <w:r>
        <w:rPr>
          <w:rFonts w:asciiTheme="minorHAnsi" w:hAnsiTheme="minorHAnsi" w:cstheme="minorHAnsi"/>
          <w:szCs w:val="22"/>
          <w:lang w:val="en-GB"/>
        </w:rPr>
        <w:t>interim payment</w:t>
      </w:r>
      <w:r w:rsidRPr="008772D7">
        <w:rPr>
          <w:rFonts w:asciiTheme="minorHAnsi" w:hAnsiTheme="minorHAnsi" w:cstheme="minorHAnsi"/>
          <w:szCs w:val="22"/>
          <w:lang w:val="en-GB"/>
        </w:rPr>
        <w:t xml:space="preserv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8772D7" w:rsidRPr="00DA34BC" w14:paraId="3417176D" w14:textId="77777777" w:rsidTr="0052724D">
        <w:tc>
          <w:tcPr>
            <w:tcW w:w="3402" w:type="dxa"/>
            <w:vAlign w:val="center"/>
          </w:tcPr>
          <w:p w14:paraId="24AA2EB8" w14:textId="0308B08A" w:rsidR="008772D7" w:rsidRPr="008772D7" w:rsidRDefault="008772D7" w:rsidP="008772D7">
            <w:pPr>
              <w:pStyle w:val="u"/>
              <w:widowControl w:val="0"/>
              <w:numPr>
                <w:ilvl w:val="12"/>
                <w:numId w:val="0"/>
              </w:numPr>
              <w:jc w:val="center"/>
              <w:rPr>
                <w:rFonts w:asciiTheme="minorHAnsi" w:hAnsiTheme="minorHAnsi" w:cstheme="minorHAnsi"/>
                <w:b/>
                <w:szCs w:val="22"/>
                <w:lang w:val="en-US"/>
              </w:rPr>
            </w:pPr>
            <w:r w:rsidRPr="008772D7">
              <w:rPr>
                <w:rFonts w:asciiTheme="minorHAnsi" w:hAnsiTheme="minorHAnsi" w:cstheme="minorHAnsi"/>
                <w:szCs w:val="22"/>
                <w:lang w:val="en-GB"/>
              </w:rPr>
              <w:tab/>
            </w:r>
            <w:r w:rsidRPr="00DA34BC">
              <w:rPr>
                <w:rFonts w:asciiTheme="minorHAnsi" w:hAnsiTheme="minorHAnsi" w:cstheme="minorHAnsi"/>
                <w:b/>
                <w:bCs/>
                <w:szCs w:val="22"/>
                <w:lang w:val="en"/>
              </w:rPr>
              <w:t xml:space="preserve">Amount of the </w:t>
            </w:r>
            <w:r>
              <w:rPr>
                <w:rFonts w:asciiTheme="minorHAnsi" w:hAnsiTheme="minorHAnsi" w:cstheme="minorHAnsi"/>
                <w:b/>
                <w:bCs/>
                <w:szCs w:val="22"/>
                <w:lang w:val="en"/>
              </w:rPr>
              <w:t>interim payment</w:t>
            </w:r>
          </w:p>
        </w:tc>
        <w:tc>
          <w:tcPr>
            <w:tcW w:w="3260" w:type="dxa"/>
            <w:vAlign w:val="center"/>
          </w:tcPr>
          <w:p w14:paraId="2FCF059D" w14:textId="77777777" w:rsidR="008772D7" w:rsidRPr="00DA34BC" w:rsidRDefault="008772D7" w:rsidP="0052724D">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8772D7" w:rsidRPr="00655FD3" w14:paraId="08FD9D67" w14:textId="77777777" w:rsidTr="0052724D">
        <w:tc>
          <w:tcPr>
            <w:tcW w:w="3402" w:type="dxa"/>
            <w:vAlign w:val="center"/>
          </w:tcPr>
          <w:p w14:paraId="74EA7DB2"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t>amount in value</w:t>
            </w:r>
          </w:p>
        </w:tc>
        <w:tc>
          <w:tcPr>
            <w:tcW w:w="3260" w:type="dxa"/>
            <w:vAlign w:val="center"/>
          </w:tcPr>
          <w:p w14:paraId="62E51258"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1</w:t>
            </w:r>
          </w:p>
        </w:tc>
      </w:tr>
      <w:tr w:rsidR="008772D7" w:rsidRPr="00655FD3" w14:paraId="4C5FF099" w14:textId="77777777" w:rsidTr="0052724D">
        <w:tc>
          <w:tcPr>
            <w:tcW w:w="3402" w:type="dxa"/>
            <w:vAlign w:val="center"/>
          </w:tcPr>
          <w:p w14:paraId="048C2D52"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260" w:type="dxa"/>
            <w:vAlign w:val="center"/>
          </w:tcPr>
          <w:p w14:paraId="10B35F69"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2</w:t>
            </w:r>
          </w:p>
        </w:tc>
      </w:tr>
      <w:tr w:rsidR="008772D7" w:rsidRPr="00655FD3" w14:paraId="5D99BB3B" w14:textId="77777777" w:rsidTr="0052724D">
        <w:tc>
          <w:tcPr>
            <w:tcW w:w="3402" w:type="dxa"/>
            <w:vAlign w:val="center"/>
          </w:tcPr>
          <w:p w14:paraId="179DF2EE"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260" w:type="dxa"/>
            <w:vAlign w:val="center"/>
          </w:tcPr>
          <w:p w14:paraId="217D43AB"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3</w:t>
            </w:r>
          </w:p>
        </w:tc>
      </w:tr>
      <w:tr w:rsidR="008772D7" w:rsidRPr="00655FD3" w14:paraId="5BBDA5AD" w14:textId="77777777" w:rsidTr="0052724D">
        <w:tc>
          <w:tcPr>
            <w:tcW w:w="3402" w:type="dxa"/>
            <w:vAlign w:val="center"/>
          </w:tcPr>
          <w:p w14:paraId="6DB0A48B"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260" w:type="dxa"/>
            <w:vAlign w:val="center"/>
          </w:tcPr>
          <w:p w14:paraId="2CA547BB"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4</w:t>
            </w:r>
          </w:p>
        </w:tc>
      </w:tr>
      <w:tr w:rsidR="008772D7" w:rsidRPr="00655FD3" w14:paraId="7738F3AD" w14:textId="77777777" w:rsidTr="0052724D">
        <w:tc>
          <w:tcPr>
            <w:tcW w:w="3402" w:type="dxa"/>
            <w:vAlign w:val="center"/>
          </w:tcPr>
          <w:p w14:paraId="1589C866"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260" w:type="dxa"/>
            <w:vAlign w:val="center"/>
          </w:tcPr>
          <w:p w14:paraId="61D9AFC5"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5</w:t>
            </w:r>
          </w:p>
        </w:tc>
      </w:tr>
      <w:tr w:rsidR="008772D7" w:rsidRPr="00655FD3" w14:paraId="0B776AF4" w14:textId="77777777" w:rsidTr="0052724D">
        <w:tc>
          <w:tcPr>
            <w:tcW w:w="3402" w:type="dxa"/>
            <w:vAlign w:val="center"/>
          </w:tcPr>
          <w:p w14:paraId="5EE92F41"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260" w:type="dxa"/>
            <w:vAlign w:val="center"/>
          </w:tcPr>
          <w:p w14:paraId="32C6B0BF"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6</w:t>
            </w:r>
          </w:p>
        </w:tc>
      </w:tr>
      <w:tr w:rsidR="008772D7" w:rsidRPr="00655FD3" w14:paraId="1860CE66" w14:textId="77777777" w:rsidTr="0052724D">
        <w:tc>
          <w:tcPr>
            <w:tcW w:w="3402" w:type="dxa"/>
            <w:vAlign w:val="center"/>
          </w:tcPr>
          <w:p w14:paraId="7F4EC4C4"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260" w:type="dxa"/>
            <w:vAlign w:val="center"/>
          </w:tcPr>
          <w:p w14:paraId="0BDF80E7"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7</w:t>
            </w:r>
          </w:p>
        </w:tc>
      </w:tr>
      <w:tr w:rsidR="008772D7" w:rsidRPr="00655FD3" w14:paraId="41FAB276" w14:textId="77777777" w:rsidTr="0052724D">
        <w:tc>
          <w:tcPr>
            <w:tcW w:w="3402" w:type="dxa"/>
            <w:vAlign w:val="center"/>
          </w:tcPr>
          <w:p w14:paraId="54DAE689" w14:textId="77777777" w:rsidR="008772D7" w:rsidRPr="00DA34BC" w:rsidRDefault="008772D7" w:rsidP="0052724D">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theme="minorHAnsi"/>
                <w:szCs w:val="22"/>
                <w:highlight w:val="yellow"/>
                <w:lang w:val="en"/>
              </w:rPr>
              <w:t>amount in value</w:t>
            </w:r>
          </w:p>
        </w:tc>
        <w:tc>
          <w:tcPr>
            <w:tcW w:w="3260" w:type="dxa"/>
            <w:vAlign w:val="center"/>
          </w:tcPr>
          <w:p w14:paraId="6CCAFA8C" w14:textId="77777777" w:rsidR="008772D7" w:rsidRPr="00DA34BC" w:rsidRDefault="008772D7" w:rsidP="0052724D">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8</w:t>
            </w:r>
          </w:p>
        </w:tc>
      </w:tr>
      <w:tr w:rsidR="008772D7" w:rsidRPr="00655FD3" w14:paraId="41A484EE" w14:textId="77777777" w:rsidTr="0052724D">
        <w:tc>
          <w:tcPr>
            <w:tcW w:w="3402" w:type="dxa"/>
            <w:vAlign w:val="center"/>
          </w:tcPr>
          <w:p w14:paraId="499D3E65" w14:textId="77777777" w:rsidR="008772D7" w:rsidRPr="00DA34BC" w:rsidRDefault="008772D7" w:rsidP="0052724D">
            <w:pPr>
              <w:pStyle w:val="u"/>
              <w:widowControl w:val="0"/>
              <w:numPr>
                <w:ilvl w:val="12"/>
                <w:numId w:val="0"/>
              </w:numPr>
              <w:jc w:val="center"/>
              <w:rPr>
                <w:rFonts w:asciiTheme="minorHAnsi" w:hAnsiTheme="minorHAnsi" w:cs="Arial"/>
                <w:szCs w:val="22"/>
                <w:highlight w:val="yellow"/>
              </w:rPr>
            </w:pPr>
            <w:r w:rsidRPr="00DA34BC">
              <w:rPr>
                <w:rFonts w:asciiTheme="minorHAnsi" w:hAnsiTheme="minorHAnsi" w:cstheme="minorHAnsi"/>
                <w:szCs w:val="22"/>
                <w:highlight w:val="yellow"/>
                <w:lang w:val="en"/>
              </w:rPr>
              <w:lastRenderedPageBreak/>
              <w:t>amount in value</w:t>
            </w:r>
          </w:p>
        </w:tc>
        <w:tc>
          <w:tcPr>
            <w:tcW w:w="3260" w:type="dxa"/>
            <w:vAlign w:val="center"/>
          </w:tcPr>
          <w:p w14:paraId="306F8741" w14:textId="77777777" w:rsidR="008772D7" w:rsidRPr="00DA34BC" w:rsidRDefault="008772D7" w:rsidP="0052724D">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9</w:t>
            </w:r>
          </w:p>
        </w:tc>
      </w:tr>
      <w:tr w:rsidR="008772D7" w:rsidRPr="00655FD3" w14:paraId="7F7797F9" w14:textId="77777777" w:rsidTr="0052724D">
        <w:tc>
          <w:tcPr>
            <w:tcW w:w="3402" w:type="dxa"/>
            <w:vAlign w:val="center"/>
          </w:tcPr>
          <w:p w14:paraId="5F8C80C4"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260" w:type="dxa"/>
            <w:vAlign w:val="center"/>
          </w:tcPr>
          <w:p w14:paraId="2C34C508" w14:textId="77777777" w:rsidR="008772D7" w:rsidRPr="00DA34BC" w:rsidRDefault="008772D7" w:rsidP="0052724D">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acceptance of the deliverable </w:t>
            </w:r>
            <w:r>
              <w:rPr>
                <w:rFonts w:asciiTheme="minorHAnsi" w:hAnsiTheme="minorHAnsi" w:cstheme="minorHAnsi"/>
                <w:szCs w:val="22"/>
                <w:highlight w:val="yellow"/>
                <w:lang w:val="en"/>
              </w:rPr>
              <w:t>10</w:t>
            </w:r>
          </w:p>
        </w:tc>
      </w:tr>
    </w:tbl>
    <w:p w14:paraId="74B0DF42" w14:textId="77777777" w:rsidR="008772D7" w:rsidRPr="008E7A24" w:rsidRDefault="008772D7" w:rsidP="008772D7">
      <w:pPr>
        <w:pStyle w:val="u"/>
        <w:widowControl w:val="0"/>
        <w:numPr>
          <w:ilvl w:val="12"/>
          <w:numId w:val="0"/>
        </w:numPr>
        <w:spacing w:after="120"/>
        <w:ind w:left="561"/>
        <w:jc w:val="left"/>
        <w:rPr>
          <w:rFonts w:asciiTheme="minorHAnsi" w:hAnsiTheme="minorHAnsi" w:cstheme="minorHAnsi"/>
          <w:szCs w:val="22"/>
          <w:lang w:val="en-GB"/>
        </w:rPr>
      </w:pPr>
    </w:p>
    <w:bookmarkEnd w:id="20"/>
    <w:p w14:paraId="18E1EF8E" w14:textId="00046676" w:rsidR="00E637E0" w:rsidRPr="00031F69" w:rsidRDefault="00E637E0" w:rsidP="00B11E67">
      <w:pPr>
        <w:pStyle w:val="u"/>
        <w:widowControl w:val="0"/>
        <w:numPr>
          <w:ilvl w:val="0"/>
          <w:numId w:val="16"/>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B11E67">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8"/>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B11E67">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37215741" w14:textId="77777777" w:rsidR="00700E43" w:rsidRDefault="00700E43" w:rsidP="00B11E67">
      <w:pPr>
        <w:pStyle w:val="u"/>
        <w:widowControl w:val="0"/>
        <w:numPr>
          <w:ilvl w:val="0"/>
          <w:numId w:val="22"/>
        </w:numPr>
        <w:overflowPunct/>
        <w:autoSpaceDE/>
        <w:autoSpaceDN/>
        <w:adjustRightInd/>
        <w:textAlignment w:val="auto"/>
        <w:rPr>
          <w:rFonts w:asciiTheme="minorHAnsi" w:hAnsiTheme="minorHAnsi" w:cs="Arial"/>
          <w:szCs w:val="22"/>
          <w:lang w:val="en-GB"/>
        </w:rPr>
      </w:pPr>
      <w:bookmarkStart w:id="33" w:name="_Toc390691470"/>
      <w:bookmarkStart w:id="34" w:name="_Toc392669641"/>
      <w:bookmarkStart w:id="35" w:name="_Toc140836325"/>
      <w:r>
        <w:rPr>
          <w:rFonts w:asciiTheme="minorHAnsi" w:hAnsiTheme="minorHAnsi" w:cs="Arial"/>
          <w:szCs w:val="22"/>
          <w:lang w:val="en-GB"/>
        </w:rPr>
        <w:t>the Project Manager, Mr. Morgan ROHEL</w:t>
      </w:r>
      <w:r>
        <w:rPr>
          <w:rFonts w:asciiTheme="minorHAnsi" w:hAnsiTheme="minorHAnsi" w:cs="Arial"/>
          <w:szCs w:val="22"/>
          <w:highlight w:val="yellow"/>
          <w:lang w:val="en-GB"/>
        </w:rPr>
        <w:t xml:space="preserve"> </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53B27859" w14:textId="77777777" w:rsidR="00A51A7E" w:rsidRDefault="00A51A7E" w:rsidP="00B11E67">
      <w:pPr>
        <w:pStyle w:val="u"/>
        <w:widowControl w:val="0"/>
        <w:numPr>
          <w:ilvl w:val="0"/>
          <w:numId w:val="22"/>
        </w:numPr>
        <w:overflowPunct/>
        <w:autoSpaceDE/>
        <w:autoSpaceDN/>
        <w:adjustRightInd/>
        <w:textAlignment w:val="auto"/>
        <w:rPr>
          <w:rFonts w:asciiTheme="minorHAnsi" w:hAnsiTheme="minorHAnsi" w:cs="Arial"/>
          <w:szCs w:val="22"/>
          <w:lang w:val="en-GB"/>
        </w:rPr>
      </w:pPr>
      <w:r>
        <w:rPr>
          <w:rFonts w:asciiTheme="minorHAnsi" w:hAnsiTheme="minorHAnsi" w:cs="Arial"/>
          <w:szCs w:val="22"/>
          <w:lang w:val="en-GB"/>
        </w:rPr>
        <w:t>the Project Manager, Mr. Morgan ROHEL</w:t>
      </w:r>
    </w:p>
    <w:p w14:paraId="00BFCAB9" w14:textId="48771F13" w:rsidR="00A51A7E" w:rsidRDefault="00A51A7E" w:rsidP="00B11E67">
      <w:pPr>
        <w:pStyle w:val="u"/>
        <w:widowControl w:val="0"/>
        <w:numPr>
          <w:ilvl w:val="0"/>
          <w:numId w:val="22"/>
        </w:numPr>
        <w:overflowPunct/>
        <w:autoSpaceDE/>
        <w:autoSpaceDN/>
        <w:adjustRightInd/>
        <w:textAlignment w:val="auto"/>
        <w:rPr>
          <w:rFonts w:asciiTheme="minorHAnsi" w:hAnsiTheme="minorHAnsi" w:cs="Arial"/>
          <w:szCs w:val="22"/>
          <w:lang w:val="en-GB"/>
        </w:rPr>
      </w:pPr>
      <w:r>
        <w:rPr>
          <w:rFonts w:asciiTheme="minorHAnsi" w:hAnsiTheme="minorHAnsi" w:cs="Arial"/>
          <w:szCs w:val="22"/>
          <w:lang w:val="en-GB"/>
        </w:rPr>
        <w:t xml:space="preserve">the Technical Coordinator, Mr. Gamini </w:t>
      </w:r>
      <w:r w:rsidR="00D266D5">
        <w:rPr>
          <w:rFonts w:asciiTheme="minorHAnsi" w:hAnsiTheme="minorHAnsi" w:cs="Arial"/>
          <w:szCs w:val="22"/>
          <w:lang w:val="en-GB"/>
        </w:rPr>
        <w:t>SENANAYAKE</w:t>
      </w:r>
    </w:p>
    <w:p w14:paraId="4076DC1D" w14:textId="0DC4D0BB" w:rsidR="00A51A7E" w:rsidRPr="00D266D5" w:rsidRDefault="00D266D5" w:rsidP="00B11E67">
      <w:pPr>
        <w:pStyle w:val="u"/>
        <w:widowControl w:val="0"/>
        <w:numPr>
          <w:ilvl w:val="0"/>
          <w:numId w:val="22"/>
        </w:numPr>
        <w:overflowPunct/>
        <w:autoSpaceDE/>
        <w:autoSpaceDN/>
        <w:adjustRightInd/>
        <w:textAlignment w:val="auto"/>
        <w:rPr>
          <w:rFonts w:asciiTheme="minorHAnsi" w:hAnsiTheme="minorHAnsi" w:cs="Arial"/>
          <w:szCs w:val="22"/>
          <w:lang w:val="en-GB"/>
        </w:rPr>
      </w:pPr>
      <w:r w:rsidRPr="00D266D5">
        <w:rPr>
          <w:rFonts w:asciiTheme="minorHAnsi" w:hAnsiTheme="minorHAnsi" w:cs="Arial"/>
          <w:szCs w:val="22"/>
          <w:lang w:val="en-GB"/>
        </w:rPr>
        <w:t>The Awareness Raising Specialist, Ms. Badra DUFLOT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B11E6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3F9203C0" w:rsidR="000A6914" w:rsidRDefault="000A6914" w:rsidP="000A6914">
      <w:pPr>
        <w:pStyle w:val="Titre2"/>
        <w:spacing w:before="120" w:after="60"/>
        <w:rPr>
          <w:rFonts w:asciiTheme="minorHAnsi" w:hAnsiTheme="minorHAnsi" w:cstheme="minorHAnsi"/>
          <w:sz w:val="22"/>
          <w:szCs w:val="22"/>
          <w:lang w:val="en"/>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Grilledutableau"/>
        <w:tblW w:w="10155" w:type="dxa"/>
        <w:tblInd w:w="-570" w:type="dxa"/>
        <w:tblLook w:val="04A0" w:firstRow="1" w:lastRow="0" w:firstColumn="1" w:lastColumn="0" w:noHBand="0" w:noVBand="1"/>
      </w:tblPr>
      <w:tblGrid>
        <w:gridCol w:w="2195"/>
        <w:gridCol w:w="6458"/>
        <w:gridCol w:w="1502"/>
      </w:tblGrid>
      <w:tr w:rsidR="004A6AC2" w:rsidRPr="00B479D2" w14:paraId="390914A6" w14:textId="77777777" w:rsidTr="008E5C58">
        <w:tc>
          <w:tcPr>
            <w:tcW w:w="0" w:type="auto"/>
            <w:hideMark/>
          </w:tcPr>
          <w:p w14:paraId="79F09B2C" w14:textId="77777777" w:rsidR="004A6AC2" w:rsidRPr="008A625F" w:rsidRDefault="004A6AC2" w:rsidP="008E5C58">
            <w:pPr>
              <w:jc w:val="center"/>
              <w:rPr>
                <w:rFonts w:eastAsia="Times New Roman" w:cs="Arial"/>
                <w:b/>
                <w:bCs/>
                <w:szCs w:val="24"/>
                <w:lang w:val="en-GB" w:eastAsia="en-GB"/>
              </w:rPr>
            </w:pPr>
            <w:r w:rsidRPr="008A625F">
              <w:rPr>
                <w:rFonts w:eastAsia="Times New Roman" w:cs="Arial"/>
                <w:b/>
                <w:bCs/>
                <w:szCs w:val="24"/>
                <w:lang w:val="en-GB" w:eastAsia="en-GB"/>
              </w:rPr>
              <w:t>Phase</w:t>
            </w:r>
          </w:p>
        </w:tc>
        <w:tc>
          <w:tcPr>
            <w:tcW w:w="0" w:type="auto"/>
            <w:hideMark/>
          </w:tcPr>
          <w:p w14:paraId="1E7DE23E" w14:textId="77777777" w:rsidR="004A6AC2" w:rsidRPr="008A625F" w:rsidRDefault="004A6AC2" w:rsidP="008E5C58">
            <w:pPr>
              <w:jc w:val="center"/>
              <w:rPr>
                <w:rFonts w:eastAsia="Times New Roman" w:cs="Arial"/>
                <w:b/>
                <w:bCs/>
                <w:szCs w:val="24"/>
                <w:lang w:val="en-GB" w:eastAsia="en-GB"/>
              </w:rPr>
            </w:pPr>
            <w:r w:rsidRPr="008A625F">
              <w:rPr>
                <w:rFonts w:eastAsia="Times New Roman" w:cs="Arial"/>
                <w:b/>
                <w:bCs/>
                <w:szCs w:val="24"/>
                <w:lang w:val="en-GB" w:eastAsia="en-GB"/>
              </w:rPr>
              <w:t>Deliverable</w:t>
            </w:r>
          </w:p>
        </w:tc>
        <w:tc>
          <w:tcPr>
            <w:tcW w:w="0" w:type="auto"/>
          </w:tcPr>
          <w:p w14:paraId="5E5D36B8" w14:textId="77777777" w:rsidR="004A6AC2" w:rsidRPr="008A625F" w:rsidRDefault="004A6AC2" w:rsidP="008E5C58">
            <w:pPr>
              <w:jc w:val="center"/>
              <w:rPr>
                <w:rFonts w:eastAsia="Times New Roman" w:cs="Arial"/>
                <w:b/>
                <w:bCs/>
                <w:szCs w:val="24"/>
                <w:lang w:val="en-GB" w:eastAsia="en-GB"/>
              </w:rPr>
            </w:pPr>
            <w:r w:rsidRPr="008A625F">
              <w:rPr>
                <w:rFonts w:eastAsia="Times New Roman" w:cs="Arial"/>
                <w:b/>
                <w:bCs/>
                <w:szCs w:val="24"/>
                <w:lang w:val="en-GB" w:eastAsia="en-GB"/>
              </w:rPr>
              <w:t>Submission Date</w:t>
            </w:r>
          </w:p>
        </w:tc>
      </w:tr>
      <w:tr w:rsidR="004A6AC2" w:rsidRPr="00B479D2" w14:paraId="1DA8FF72" w14:textId="77777777" w:rsidTr="008E5C58">
        <w:tc>
          <w:tcPr>
            <w:tcW w:w="0" w:type="auto"/>
            <w:hideMark/>
          </w:tcPr>
          <w:p w14:paraId="2C69FC0C" w14:textId="77777777" w:rsidR="004A6AC2" w:rsidRPr="008A625F" w:rsidRDefault="004A6AC2" w:rsidP="008E5C58">
            <w:pPr>
              <w:rPr>
                <w:rFonts w:eastAsia="Times New Roman" w:cs="Arial"/>
                <w:szCs w:val="24"/>
                <w:lang w:val="en-GB" w:eastAsia="en-GB"/>
              </w:rPr>
            </w:pPr>
            <w:r w:rsidRPr="008A625F">
              <w:rPr>
                <w:rFonts w:eastAsia="Times New Roman" w:cs="Arial"/>
                <w:b/>
                <w:bCs/>
                <w:szCs w:val="24"/>
                <w:lang w:val="en-GB" w:eastAsia="en-GB"/>
              </w:rPr>
              <w:t>Phase 1 – Inception</w:t>
            </w:r>
          </w:p>
        </w:tc>
        <w:tc>
          <w:tcPr>
            <w:tcW w:w="0" w:type="auto"/>
            <w:hideMark/>
          </w:tcPr>
          <w:p w14:paraId="78F726BB"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D1: Inception Report</w:t>
            </w:r>
          </w:p>
          <w:p w14:paraId="3C95D3FD"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Refined work plan and methodology; includes stakeholder mapping, identification of target groups (Group 1 &amp; 2), initial pilot scope, technical requirements, and risk matrix</w:t>
            </w:r>
          </w:p>
        </w:tc>
        <w:tc>
          <w:tcPr>
            <w:tcW w:w="0" w:type="auto"/>
          </w:tcPr>
          <w:p w14:paraId="5AF254B8"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+ 4 weeks</w:t>
            </w:r>
          </w:p>
        </w:tc>
      </w:tr>
      <w:tr w:rsidR="004A6AC2" w:rsidRPr="00B479D2" w14:paraId="7CB39B5D" w14:textId="77777777" w:rsidTr="008E5C58">
        <w:tc>
          <w:tcPr>
            <w:tcW w:w="0" w:type="auto"/>
            <w:vMerge w:val="restart"/>
            <w:hideMark/>
          </w:tcPr>
          <w:p w14:paraId="775C81C4" w14:textId="77777777" w:rsidR="004A6AC2" w:rsidRPr="008A625F" w:rsidRDefault="004A6AC2" w:rsidP="008E5C58">
            <w:pPr>
              <w:rPr>
                <w:rFonts w:eastAsia="Times New Roman" w:cs="Arial"/>
                <w:szCs w:val="24"/>
                <w:lang w:val="en-GB" w:eastAsia="en-GB"/>
              </w:rPr>
            </w:pPr>
            <w:r w:rsidRPr="008A625F">
              <w:rPr>
                <w:rFonts w:eastAsia="Times New Roman" w:cs="Arial"/>
                <w:b/>
                <w:bCs/>
                <w:szCs w:val="24"/>
                <w:lang w:val="en-GB" w:eastAsia="en-GB"/>
              </w:rPr>
              <w:t>Phase 2 – Analysis</w:t>
            </w:r>
          </w:p>
        </w:tc>
        <w:tc>
          <w:tcPr>
            <w:tcW w:w="0" w:type="auto"/>
            <w:hideMark/>
          </w:tcPr>
          <w:p w14:paraId="32EB35BD"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D2: Policy recommendations and Financing Opportunities Report</w:t>
            </w:r>
          </w:p>
          <w:p w14:paraId="2A0DD50D"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 xml:space="preserve">Review of national policies, potential institutional entry points for </w:t>
            </w:r>
            <w:proofErr w:type="spellStart"/>
            <w:r w:rsidRPr="008A625F">
              <w:rPr>
                <w:rFonts w:eastAsia="Times New Roman" w:cs="Arial"/>
                <w:szCs w:val="24"/>
                <w:lang w:val="en-GB" w:eastAsia="en-GB"/>
              </w:rPr>
              <w:t>NbS</w:t>
            </w:r>
            <w:proofErr w:type="spellEnd"/>
            <w:r w:rsidRPr="008A625F">
              <w:rPr>
                <w:rFonts w:eastAsia="Times New Roman" w:cs="Arial"/>
                <w:szCs w:val="24"/>
                <w:lang w:val="en-GB" w:eastAsia="en-GB"/>
              </w:rPr>
              <w:t>, and landscape of financing mechanisms and enabling fiscal instruments</w:t>
            </w:r>
          </w:p>
          <w:p w14:paraId="04795F1E" w14:textId="4FFFF95A" w:rsidR="000D7365" w:rsidRPr="008A625F" w:rsidRDefault="000D7365" w:rsidP="008E5C58">
            <w:pPr>
              <w:rPr>
                <w:rFonts w:eastAsia="Times New Roman" w:cs="Arial"/>
                <w:szCs w:val="24"/>
                <w:lang w:val="en-GB" w:eastAsia="en-GB"/>
              </w:rPr>
            </w:pPr>
          </w:p>
        </w:tc>
        <w:tc>
          <w:tcPr>
            <w:tcW w:w="0" w:type="auto"/>
          </w:tcPr>
          <w:p w14:paraId="3F42B201"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+ 7 weeks</w:t>
            </w:r>
          </w:p>
        </w:tc>
      </w:tr>
      <w:tr w:rsidR="004A6AC2" w:rsidRPr="00B479D2" w14:paraId="24EEF7AC" w14:textId="77777777" w:rsidTr="008E5C58">
        <w:tc>
          <w:tcPr>
            <w:tcW w:w="0" w:type="auto"/>
            <w:vMerge/>
            <w:hideMark/>
          </w:tcPr>
          <w:p w14:paraId="115C382C" w14:textId="77777777" w:rsidR="004A6AC2" w:rsidRPr="008A625F" w:rsidRDefault="004A6AC2" w:rsidP="008E5C58">
            <w:pPr>
              <w:rPr>
                <w:rFonts w:eastAsia="Times New Roman" w:cs="Arial"/>
                <w:szCs w:val="24"/>
                <w:lang w:val="en-GB" w:eastAsia="en-GB"/>
              </w:rPr>
            </w:pPr>
          </w:p>
        </w:tc>
        <w:tc>
          <w:tcPr>
            <w:tcW w:w="0" w:type="auto"/>
            <w:hideMark/>
          </w:tcPr>
          <w:p w14:paraId="19E3AD5A"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D3: Potential Financing Pathways for the Pilot Project report</w:t>
            </w:r>
            <w:r w:rsidRPr="008A625F">
              <w:rPr>
                <w:rFonts w:eastAsia="Times New Roman" w:cs="Arial"/>
                <w:szCs w:val="24"/>
                <w:u w:val="single"/>
                <w:lang w:val="en-GB" w:eastAsia="en-GB"/>
              </w:rPr>
              <w:t xml:space="preserve"> </w:t>
            </w:r>
          </w:p>
          <w:p w14:paraId="4E7E2678"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Identification of funders and engagement criteria; alignment of project features with funder requirements; designation of anchor entity</w:t>
            </w:r>
          </w:p>
        </w:tc>
        <w:tc>
          <w:tcPr>
            <w:tcW w:w="0" w:type="auto"/>
          </w:tcPr>
          <w:p w14:paraId="58969C17"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+ 11 weeks</w:t>
            </w:r>
          </w:p>
        </w:tc>
      </w:tr>
      <w:tr w:rsidR="004A6AC2" w:rsidRPr="00B479D2" w14:paraId="529972BB" w14:textId="77777777" w:rsidTr="008E5C58">
        <w:tc>
          <w:tcPr>
            <w:tcW w:w="0" w:type="auto"/>
            <w:vMerge/>
            <w:hideMark/>
          </w:tcPr>
          <w:p w14:paraId="7EA048BD" w14:textId="77777777" w:rsidR="004A6AC2" w:rsidRPr="008A625F" w:rsidRDefault="004A6AC2" w:rsidP="008E5C58">
            <w:pPr>
              <w:rPr>
                <w:rFonts w:eastAsia="Times New Roman" w:cs="Arial"/>
                <w:szCs w:val="24"/>
                <w:lang w:val="en-GB" w:eastAsia="en-GB"/>
              </w:rPr>
            </w:pPr>
          </w:p>
        </w:tc>
        <w:tc>
          <w:tcPr>
            <w:tcW w:w="0" w:type="auto"/>
            <w:hideMark/>
          </w:tcPr>
          <w:p w14:paraId="661370E5"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D4: Awareness Raising Needs Assessment Summary report</w:t>
            </w:r>
          </w:p>
          <w:p w14:paraId="12DEF34F"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 xml:space="preserve">Identify gaps in </w:t>
            </w:r>
            <w:proofErr w:type="spellStart"/>
            <w:r w:rsidRPr="008A625F">
              <w:rPr>
                <w:rFonts w:eastAsia="Times New Roman" w:cs="Arial"/>
                <w:szCs w:val="24"/>
                <w:lang w:val="en-GB" w:eastAsia="en-GB"/>
              </w:rPr>
              <w:t>NbS</w:t>
            </w:r>
            <w:proofErr w:type="spellEnd"/>
            <w:r w:rsidRPr="008A625F">
              <w:rPr>
                <w:rFonts w:eastAsia="Times New Roman" w:cs="Arial"/>
                <w:szCs w:val="24"/>
                <w:lang w:val="en-GB" w:eastAsia="en-GB"/>
              </w:rPr>
              <w:t xml:space="preserve"> awareness and financing knowledge among Group 1 stakeholders; inform seminar content and design</w:t>
            </w:r>
          </w:p>
        </w:tc>
        <w:tc>
          <w:tcPr>
            <w:tcW w:w="0" w:type="auto"/>
          </w:tcPr>
          <w:p w14:paraId="0E28E9AE"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+ 8 weeks</w:t>
            </w:r>
          </w:p>
        </w:tc>
      </w:tr>
      <w:tr w:rsidR="004A6AC2" w:rsidRPr="00B479D2" w14:paraId="77A67825" w14:textId="77777777" w:rsidTr="008E5C58">
        <w:tc>
          <w:tcPr>
            <w:tcW w:w="0" w:type="auto"/>
            <w:vMerge w:val="restart"/>
            <w:hideMark/>
          </w:tcPr>
          <w:p w14:paraId="63D34473" w14:textId="77777777" w:rsidR="004A6AC2" w:rsidRPr="008A625F" w:rsidRDefault="004A6AC2" w:rsidP="008E5C58">
            <w:pPr>
              <w:rPr>
                <w:rFonts w:eastAsia="Times New Roman" w:cs="Arial"/>
                <w:szCs w:val="24"/>
                <w:lang w:val="en-GB" w:eastAsia="en-GB"/>
              </w:rPr>
            </w:pPr>
            <w:r w:rsidRPr="008A625F">
              <w:rPr>
                <w:rFonts w:eastAsia="Times New Roman" w:cs="Arial"/>
                <w:b/>
                <w:bCs/>
                <w:szCs w:val="24"/>
                <w:lang w:val="en-GB" w:eastAsia="en-GB"/>
              </w:rPr>
              <w:lastRenderedPageBreak/>
              <w:t>Phase 3 – Awareness Raising</w:t>
            </w:r>
          </w:p>
        </w:tc>
        <w:tc>
          <w:tcPr>
            <w:tcW w:w="0" w:type="auto"/>
            <w:hideMark/>
          </w:tcPr>
          <w:p w14:paraId="3AF5EBC9"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D5: Awareness Raising Workshop Materials</w:t>
            </w:r>
            <w:r w:rsidRPr="008A625F">
              <w:rPr>
                <w:rFonts w:eastAsia="Times New Roman" w:cs="Arial"/>
                <w:szCs w:val="24"/>
                <w:u w:val="single"/>
                <w:lang w:val="en-GB" w:eastAsia="en-GB"/>
              </w:rPr>
              <w:t xml:space="preserve"> </w:t>
            </w:r>
          </w:p>
          <w:p w14:paraId="0763491A"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Agendas, presentations, and handouts for Awareness Seminars 1 &amp; 2, tailored to audience (public institutions, private sector, and communities)</w:t>
            </w:r>
          </w:p>
        </w:tc>
        <w:tc>
          <w:tcPr>
            <w:tcW w:w="0" w:type="auto"/>
          </w:tcPr>
          <w:p w14:paraId="06F81E13"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+ 12 weeks</w:t>
            </w:r>
          </w:p>
        </w:tc>
      </w:tr>
      <w:tr w:rsidR="004A6AC2" w:rsidRPr="00B479D2" w14:paraId="076F84CF" w14:textId="77777777" w:rsidTr="008E5C58">
        <w:tc>
          <w:tcPr>
            <w:tcW w:w="0" w:type="auto"/>
            <w:vMerge/>
            <w:hideMark/>
          </w:tcPr>
          <w:p w14:paraId="485C1AF4" w14:textId="77777777" w:rsidR="004A6AC2" w:rsidRPr="008A625F" w:rsidRDefault="004A6AC2" w:rsidP="008E5C58">
            <w:pPr>
              <w:rPr>
                <w:rFonts w:eastAsia="Times New Roman" w:cs="Arial"/>
                <w:szCs w:val="24"/>
                <w:lang w:val="en-GB" w:eastAsia="en-GB"/>
              </w:rPr>
            </w:pPr>
          </w:p>
        </w:tc>
        <w:tc>
          <w:tcPr>
            <w:tcW w:w="0" w:type="auto"/>
            <w:hideMark/>
          </w:tcPr>
          <w:p w14:paraId="1082D1B1"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D6: Awareness Raising Workshops Report</w:t>
            </w:r>
            <w:r w:rsidRPr="008A625F">
              <w:rPr>
                <w:rFonts w:eastAsia="Times New Roman" w:cs="Arial"/>
                <w:szCs w:val="24"/>
                <w:u w:val="single"/>
                <w:lang w:val="en-GB" w:eastAsia="en-GB"/>
              </w:rPr>
              <w:t xml:space="preserve"> </w:t>
            </w:r>
          </w:p>
          <w:p w14:paraId="05B33EFB"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Summary of workshop activities, feedback, and participant list; analysis of post-event survey results for both seminars</w:t>
            </w:r>
          </w:p>
        </w:tc>
        <w:tc>
          <w:tcPr>
            <w:tcW w:w="0" w:type="auto"/>
          </w:tcPr>
          <w:p w14:paraId="4883E831"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+ 16 weeks</w:t>
            </w:r>
          </w:p>
        </w:tc>
      </w:tr>
      <w:tr w:rsidR="004A6AC2" w:rsidRPr="00B479D2" w14:paraId="11E0F2E5" w14:textId="77777777" w:rsidTr="008E5C58">
        <w:tc>
          <w:tcPr>
            <w:tcW w:w="0" w:type="auto"/>
            <w:vMerge w:val="restart"/>
            <w:hideMark/>
          </w:tcPr>
          <w:p w14:paraId="5C46A6FB" w14:textId="77777777" w:rsidR="004A6AC2" w:rsidRPr="008A625F" w:rsidRDefault="004A6AC2" w:rsidP="008E5C58">
            <w:pPr>
              <w:rPr>
                <w:rFonts w:eastAsia="Times New Roman" w:cs="Arial"/>
                <w:szCs w:val="24"/>
                <w:lang w:val="en-GB" w:eastAsia="en-GB"/>
              </w:rPr>
            </w:pPr>
            <w:r w:rsidRPr="008A625F">
              <w:rPr>
                <w:rFonts w:eastAsia="Times New Roman" w:cs="Arial"/>
                <w:b/>
                <w:bCs/>
                <w:szCs w:val="24"/>
                <w:lang w:val="en-GB" w:eastAsia="en-GB"/>
              </w:rPr>
              <w:t>Phase 4 – Pilot Design &amp; Financing</w:t>
            </w:r>
          </w:p>
        </w:tc>
        <w:tc>
          <w:tcPr>
            <w:tcW w:w="0" w:type="auto"/>
            <w:hideMark/>
          </w:tcPr>
          <w:p w14:paraId="1D80C45A"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 xml:space="preserve">D7: </w:t>
            </w:r>
            <w:proofErr w:type="spellStart"/>
            <w:r w:rsidRPr="008A625F">
              <w:rPr>
                <w:rFonts w:eastAsia="Times New Roman" w:cs="Arial"/>
                <w:b/>
                <w:bCs/>
                <w:szCs w:val="24"/>
                <w:u w:val="single"/>
                <w:lang w:val="en-GB" w:eastAsia="en-GB"/>
              </w:rPr>
              <w:t>NbS</w:t>
            </w:r>
            <w:proofErr w:type="spellEnd"/>
            <w:r w:rsidRPr="008A625F">
              <w:rPr>
                <w:rFonts w:eastAsia="Times New Roman" w:cs="Arial"/>
                <w:b/>
                <w:bCs/>
                <w:szCs w:val="24"/>
                <w:u w:val="single"/>
                <w:lang w:val="en-GB" w:eastAsia="en-GB"/>
              </w:rPr>
              <w:t xml:space="preserve"> Pilot Project Design Draft report</w:t>
            </w:r>
          </w:p>
          <w:p w14:paraId="6FF96A03"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 xml:space="preserve">Technical design of the pilot project, including </w:t>
            </w:r>
            <w:r w:rsidRPr="008A625F">
              <w:rPr>
                <w:rFonts w:eastAsia="Times New Roman" w:cs="Arial"/>
                <w:lang w:val="en-GB" w:bidi="si-LK"/>
              </w:rPr>
              <w:t>Technical specificities</w:t>
            </w:r>
            <w:r w:rsidRPr="008A625F">
              <w:rPr>
                <w:rFonts w:eastAsia="Times New Roman" w:cs="Arial"/>
                <w:szCs w:val="24"/>
                <w:lang w:val="en-GB" w:eastAsia="en-GB"/>
              </w:rPr>
              <w:t>, implementation sequencing, costing and budget, roles and responsibilities, and environmental/social safeguards</w:t>
            </w:r>
          </w:p>
        </w:tc>
        <w:tc>
          <w:tcPr>
            <w:tcW w:w="0" w:type="auto"/>
          </w:tcPr>
          <w:p w14:paraId="4E64F391"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+ 27 weeks</w:t>
            </w:r>
          </w:p>
        </w:tc>
      </w:tr>
      <w:tr w:rsidR="004A6AC2" w:rsidRPr="00B479D2" w14:paraId="6E5C12E8" w14:textId="77777777" w:rsidTr="008E5C58">
        <w:tc>
          <w:tcPr>
            <w:tcW w:w="0" w:type="auto"/>
            <w:vMerge/>
            <w:hideMark/>
          </w:tcPr>
          <w:p w14:paraId="7DD30046" w14:textId="77777777" w:rsidR="004A6AC2" w:rsidRPr="008A625F" w:rsidRDefault="004A6AC2" w:rsidP="008E5C58">
            <w:pPr>
              <w:rPr>
                <w:rFonts w:eastAsia="Times New Roman" w:cs="Arial"/>
                <w:szCs w:val="24"/>
                <w:lang w:val="en-GB" w:eastAsia="en-GB"/>
              </w:rPr>
            </w:pPr>
          </w:p>
        </w:tc>
        <w:tc>
          <w:tcPr>
            <w:tcW w:w="0" w:type="auto"/>
            <w:hideMark/>
          </w:tcPr>
          <w:p w14:paraId="22BE6967"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D8: Validation Workshop Report</w:t>
            </w:r>
          </w:p>
          <w:p w14:paraId="7DDE6483"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 xml:space="preserve">Summary of stakeholder feedback on pilot design and financing strategy; includes attendee list </w:t>
            </w:r>
          </w:p>
        </w:tc>
        <w:tc>
          <w:tcPr>
            <w:tcW w:w="0" w:type="auto"/>
          </w:tcPr>
          <w:p w14:paraId="57C2FC76"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+ 33 weeks</w:t>
            </w:r>
          </w:p>
        </w:tc>
      </w:tr>
      <w:tr w:rsidR="004A6AC2" w:rsidRPr="00B479D2" w14:paraId="6CD86738" w14:textId="77777777" w:rsidTr="008E5C58">
        <w:tc>
          <w:tcPr>
            <w:tcW w:w="0" w:type="auto"/>
            <w:vMerge w:val="restart"/>
            <w:hideMark/>
          </w:tcPr>
          <w:p w14:paraId="5D4E3887" w14:textId="77777777" w:rsidR="004A6AC2" w:rsidRPr="008A625F" w:rsidRDefault="004A6AC2" w:rsidP="008E5C58">
            <w:pPr>
              <w:rPr>
                <w:rFonts w:eastAsia="Times New Roman" w:cs="Arial"/>
                <w:szCs w:val="24"/>
                <w:lang w:val="en-GB" w:eastAsia="en-GB"/>
              </w:rPr>
            </w:pPr>
            <w:r w:rsidRPr="008A625F">
              <w:rPr>
                <w:rFonts w:eastAsia="Times New Roman" w:cs="Arial"/>
                <w:b/>
                <w:bCs/>
                <w:szCs w:val="24"/>
                <w:lang w:val="en-GB" w:eastAsia="en-GB"/>
              </w:rPr>
              <w:t>Phase 5 – Dissemination</w:t>
            </w:r>
          </w:p>
        </w:tc>
        <w:tc>
          <w:tcPr>
            <w:tcW w:w="0" w:type="auto"/>
          </w:tcPr>
          <w:p w14:paraId="1CDB82C3"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D9: Final Consolidated Report</w:t>
            </w:r>
          </w:p>
          <w:p w14:paraId="2C344603"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Final synthesis of all findings and deliverables, including strategic recommendations for enabling environments and scaling</w:t>
            </w:r>
          </w:p>
        </w:tc>
        <w:tc>
          <w:tcPr>
            <w:tcW w:w="0" w:type="auto"/>
          </w:tcPr>
          <w:p w14:paraId="6C6EAC64"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+ 35 weeks</w:t>
            </w:r>
          </w:p>
        </w:tc>
      </w:tr>
      <w:tr w:rsidR="004A6AC2" w:rsidRPr="00B479D2" w14:paraId="3DBD5BBA" w14:textId="77777777" w:rsidTr="008E5C58">
        <w:tc>
          <w:tcPr>
            <w:tcW w:w="0" w:type="auto"/>
            <w:vMerge/>
          </w:tcPr>
          <w:p w14:paraId="44FCC8F4" w14:textId="77777777" w:rsidR="004A6AC2" w:rsidRPr="008A625F" w:rsidRDefault="004A6AC2" w:rsidP="008E5C58">
            <w:pPr>
              <w:rPr>
                <w:rFonts w:eastAsia="Times New Roman" w:cs="Arial"/>
                <w:b/>
                <w:bCs/>
                <w:szCs w:val="24"/>
                <w:lang w:val="en-GB" w:eastAsia="en-GB"/>
              </w:rPr>
            </w:pPr>
          </w:p>
        </w:tc>
        <w:tc>
          <w:tcPr>
            <w:tcW w:w="0" w:type="auto"/>
          </w:tcPr>
          <w:p w14:paraId="30B60AFD"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D10: Capacity Building Workshop Materials</w:t>
            </w:r>
          </w:p>
          <w:p w14:paraId="52D0574A"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 xml:space="preserve">Materials to train Group 2 stakeholders on designing and financing </w:t>
            </w:r>
            <w:proofErr w:type="spellStart"/>
            <w:r w:rsidRPr="008A625F">
              <w:rPr>
                <w:rFonts w:eastAsia="Times New Roman" w:cs="Arial"/>
                <w:szCs w:val="24"/>
                <w:lang w:val="en-GB" w:eastAsia="en-GB"/>
              </w:rPr>
              <w:t>NbS</w:t>
            </w:r>
            <w:proofErr w:type="spellEnd"/>
            <w:r w:rsidRPr="008A625F">
              <w:rPr>
                <w:rFonts w:eastAsia="Times New Roman" w:cs="Arial"/>
                <w:szCs w:val="24"/>
                <w:lang w:val="en-GB" w:eastAsia="en-GB"/>
              </w:rPr>
              <w:t xml:space="preserve">; includes case study on the </w:t>
            </w:r>
            <w:proofErr w:type="spellStart"/>
            <w:r w:rsidRPr="008A625F">
              <w:rPr>
                <w:rFonts w:eastAsia="Times New Roman" w:cs="Arial"/>
                <w:szCs w:val="24"/>
                <w:lang w:val="en-GB" w:eastAsia="en-GB"/>
              </w:rPr>
              <w:t>Dandugamoya</w:t>
            </w:r>
            <w:proofErr w:type="spellEnd"/>
            <w:r w:rsidRPr="008A625F">
              <w:rPr>
                <w:rFonts w:eastAsia="Times New Roman" w:cs="Arial"/>
                <w:szCs w:val="24"/>
                <w:lang w:val="en-GB" w:eastAsia="en-GB"/>
              </w:rPr>
              <w:t xml:space="preserve"> pilot project</w:t>
            </w:r>
          </w:p>
        </w:tc>
        <w:tc>
          <w:tcPr>
            <w:tcW w:w="0" w:type="auto"/>
          </w:tcPr>
          <w:p w14:paraId="1DB18162"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38 weeks</w:t>
            </w:r>
          </w:p>
        </w:tc>
      </w:tr>
      <w:tr w:rsidR="004A6AC2" w:rsidRPr="00B479D2" w14:paraId="7D9D67FE" w14:textId="77777777" w:rsidTr="008E5C58">
        <w:tc>
          <w:tcPr>
            <w:tcW w:w="0" w:type="auto"/>
            <w:vMerge/>
            <w:hideMark/>
          </w:tcPr>
          <w:p w14:paraId="2474C138" w14:textId="77777777" w:rsidR="004A6AC2" w:rsidRPr="008A625F" w:rsidRDefault="004A6AC2" w:rsidP="008E5C58">
            <w:pPr>
              <w:rPr>
                <w:rFonts w:eastAsia="Times New Roman" w:cs="Arial"/>
                <w:szCs w:val="24"/>
                <w:lang w:val="en-GB" w:eastAsia="en-GB"/>
              </w:rPr>
            </w:pPr>
          </w:p>
        </w:tc>
        <w:tc>
          <w:tcPr>
            <w:tcW w:w="0" w:type="auto"/>
            <w:hideMark/>
          </w:tcPr>
          <w:p w14:paraId="2E25423C" w14:textId="77777777" w:rsidR="004A6AC2" w:rsidRPr="008A625F" w:rsidRDefault="004A6AC2" w:rsidP="008E5C58">
            <w:pPr>
              <w:rPr>
                <w:rFonts w:eastAsia="Times New Roman" w:cs="Arial"/>
                <w:szCs w:val="24"/>
                <w:u w:val="single"/>
                <w:lang w:val="en-GB" w:eastAsia="en-GB"/>
              </w:rPr>
            </w:pPr>
            <w:r w:rsidRPr="008A625F">
              <w:rPr>
                <w:rFonts w:eastAsia="Times New Roman" w:cs="Arial"/>
                <w:b/>
                <w:bCs/>
                <w:szCs w:val="24"/>
                <w:u w:val="single"/>
                <w:lang w:val="en-GB" w:eastAsia="en-GB"/>
              </w:rPr>
              <w:t>D11: Capacity Building Workshop Report</w:t>
            </w:r>
            <w:r w:rsidRPr="008A625F">
              <w:rPr>
                <w:rFonts w:eastAsia="Times New Roman" w:cs="Arial"/>
                <w:szCs w:val="24"/>
                <w:u w:val="single"/>
                <w:lang w:val="en-GB" w:eastAsia="en-GB"/>
              </w:rPr>
              <w:t xml:space="preserve"> </w:t>
            </w:r>
          </w:p>
          <w:p w14:paraId="666AB6CF"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Summary of capacity-building session, outcomes, and lessons; includes attendance list and evaluation survey results</w:t>
            </w:r>
          </w:p>
        </w:tc>
        <w:tc>
          <w:tcPr>
            <w:tcW w:w="0" w:type="auto"/>
          </w:tcPr>
          <w:p w14:paraId="26F41A30" w14:textId="77777777" w:rsidR="004A6AC2" w:rsidRPr="008A625F" w:rsidRDefault="004A6AC2" w:rsidP="008E5C58">
            <w:pPr>
              <w:rPr>
                <w:rFonts w:eastAsia="Times New Roman" w:cs="Arial"/>
                <w:szCs w:val="24"/>
                <w:lang w:val="en-GB" w:eastAsia="en-GB"/>
              </w:rPr>
            </w:pPr>
            <w:r w:rsidRPr="008A625F">
              <w:rPr>
                <w:rFonts w:eastAsia="Times New Roman" w:cs="Arial"/>
                <w:szCs w:val="24"/>
                <w:lang w:val="en-GB" w:eastAsia="en-GB"/>
              </w:rPr>
              <w:t>T0 + 44 weeks</w:t>
            </w:r>
          </w:p>
        </w:tc>
      </w:tr>
    </w:tbl>
    <w:p w14:paraId="5EC0FEAD" w14:textId="21D50829" w:rsidR="00436564" w:rsidRDefault="00436564" w:rsidP="00463610">
      <w:pPr>
        <w:rPr>
          <w:lang w:val="en"/>
        </w:rPr>
      </w:pPr>
    </w:p>
    <w:p w14:paraId="60E7FB70" w14:textId="7400D7C6" w:rsidR="00436564" w:rsidRDefault="004B34A9" w:rsidP="00463610">
      <w:pPr>
        <w:rPr>
          <w:lang w:val="en"/>
        </w:rPr>
      </w:pPr>
      <w:r>
        <w:rPr>
          <w:lang w:val="en"/>
        </w:rPr>
        <w:t xml:space="preserve">   </w:t>
      </w:r>
      <w:r w:rsidR="00436564" w:rsidRPr="00436564">
        <w:rPr>
          <w:lang w:val="en"/>
        </w:rPr>
        <w:t>*T0 = Date of the notification of the contract</w:t>
      </w:r>
    </w:p>
    <w:p w14:paraId="5F62C3C2" w14:textId="77777777" w:rsidR="0051326C" w:rsidRPr="00463610" w:rsidRDefault="0051326C" w:rsidP="00463610">
      <w:pPr>
        <w:rPr>
          <w:lang w:val="en"/>
        </w:rPr>
      </w:pP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9" w:name="_Toc392669642"/>
      <w:bookmarkStart w:id="40" w:name="_Toc140836328"/>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1"/>
      <w:bookmarkEnd w:id="42"/>
    </w:p>
    <w:p w14:paraId="7592D132" w14:textId="77777777" w:rsidR="005B5E6E" w:rsidRDefault="005B5E6E" w:rsidP="005B5E6E">
      <w:pPr>
        <w:pStyle w:val="u"/>
        <w:widowControl w:val="0"/>
        <w:spacing w:before="120"/>
        <w:ind w:left="561"/>
        <w:rPr>
          <w:rFonts w:asciiTheme="minorHAnsi" w:hAnsiTheme="minorHAnsi" w:cstheme="minorHAnsi"/>
          <w:szCs w:val="22"/>
          <w:lang w:val="en-GB"/>
        </w:rPr>
      </w:pPr>
      <w:bookmarkStart w:id="43" w:name="_Toc140836330"/>
      <w:r>
        <w:rPr>
          <w:rFonts w:asciiTheme="minorHAnsi" w:hAnsiTheme="minorHAnsi" w:cstheme="minorHAnsi"/>
          <w:szCs w:val="22"/>
          <w:lang w:val="en-GB"/>
        </w:rPr>
        <w:t xml:space="preserve">The services will be performed in mainly in Sri Lanka and remotely.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bookmarkEnd w:id="4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B11E67">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B11E67">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lastRenderedPageBreak/>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B11E67">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B11E67">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B11E67">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B11E67">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B11E67">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B11E67">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B11E67">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B11E67">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B11E67">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B11E67">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B11E67">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B11E67">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B11E67">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B11E67">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w:t>
      </w:r>
      <w:r w:rsidRPr="00567093">
        <w:rPr>
          <w:rFonts w:asciiTheme="minorHAnsi" w:hAnsiTheme="minorHAnsi" w:cs="Arial"/>
          <w:szCs w:val="22"/>
          <w:lang w:val="en"/>
        </w:rPr>
        <w:lastRenderedPageBreak/>
        <w:t xml:space="preserve">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8E5C58" w:rsidRDefault="00122959" w:rsidP="00A1761D">
      <w:pPr>
        <w:pStyle w:val="Titre2"/>
        <w:spacing w:before="120" w:after="60"/>
        <w:jc w:val="both"/>
        <w:rPr>
          <w:rFonts w:asciiTheme="minorHAnsi" w:hAnsiTheme="minorHAnsi"/>
          <w:sz w:val="22"/>
          <w:szCs w:val="22"/>
          <w:lang w:val="en-US"/>
        </w:rPr>
      </w:pPr>
      <w:bookmarkStart w:id="49" w:name="_Toc392669649"/>
      <w:bookmarkStart w:id="50" w:name="_Toc140836336"/>
      <w:r w:rsidRPr="00567093">
        <w:rPr>
          <w:rFonts w:asciiTheme="minorHAnsi" w:hAnsiTheme="minorHAnsi"/>
          <w:sz w:val="22"/>
          <w:szCs w:val="22"/>
          <w:lang w:val="en"/>
        </w:rPr>
        <w:t>Insurance</w:t>
      </w:r>
      <w:bookmarkEnd w:id="49"/>
      <w:bookmarkEnd w:id="5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1" w:name="_Toc525912441"/>
      <w:bookmarkStart w:id="52" w:name="_Ref464060009"/>
      <w:bookmarkStart w:id="53" w:name="_Toc140836337"/>
      <w:r w:rsidRPr="000D43C1">
        <w:rPr>
          <w:rFonts w:asciiTheme="minorHAnsi" w:hAnsiTheme="minorHAnsi"/>
          <w:sz w:val="22"/>
          <w:lang w:val="en"/>
        </w:rPr>
        <w:t>Contact person and communication</w:t>
      </w:r>
      <w:bookmarkEnd w:id="51"/>
      <w:bookmarkEnd w:id="52"/>
      <w:bookmarkEnd w:id="5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2F036FA1" w14:textId="77777777" w:rsidR="009A04D7" w:rsidRDefault="009A04D7" w:rsidP="009A04D7">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GB"/>
              </w:rPr>
              <w:t xml:space="preserve">Expertise France </w:t>
            </w:r>
          </w:p>
          <w:p w14:paraId="31DE423D" w14:textId="77777777" w:rsidR="009A04D7" w:rsidRDefault="009A04D7" w:rsidP="009A04D7">
            <w:pPr>
              <w:widowControl w:val="0"/>
              <w:spacing w:line="240" w:lineRule="auto"/>
              <w:rPr>
                <w:rFonts w:asciiTheme="minorHAnsi" w:hAnsiTheme="minorHAnsi" w:cs="Calibri"/>
                <w:sz w:val="22"/>
                <w:szCs w:val="22"/>
                <w:lang w:val="en-GB"/>
              </w:rPr>
            </w:pPr>
            <w:r>
              <w:rPr>
                <w:rFonts w:asciiTheme="minorHAnsi" w:hAnsiTheme="minorHAnsi" w:cs="Calibri"/>
                <w:sz w:val="22"/>
                <w:szCs w:val="22"/>
                <w:lang w:val="en-GB"/>
              </w:rPr>
              <w:t xml:space="preserve">Etienne </w:t>
            </w:r>
            <w:proofErr w:type="spellStart"/>
            <w:r>
              <w:rPr>
                <w:rFonts w:asciiTheme="minorHAnsi" w:hAnsiTheme="minorHAnsi" w:cs="Calibri"/>
                <w:sz w:val="22"/>
                <w:szCs w:val="22"/>
                <w:lang w:val="en-GB"/>
              </w:rPr>
              <w:t>Baudon</w:t>
            </w:r>
            <w:proofErr w:type="spellEnd"/>
            <w:r>
              <w:rPr>
                <w:rFonts w:asciiTheme="minorHAnsi" w:hAnsiTheme="minorHAnsi" w:cs="Calibri"/>
                <w:sz w:val="22"/>
                <w:szCs w:val="22"/>
                <w:lang w:val="en-GB"/>
              </w:rPr>
              <w:t xml:space="preserve"> of the Sustainable Development Department </w:t>
            </w:r>
          </w:p>
          <w:p w14:paraId="369FF454" w14:textId="77777777" w:rsidR="009A04D7" w:rsidRDefault="009A04D7" w:rsidP="009A04D7">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 xml:space="preserve">e-mail: </w:t>
            </w:r>
            <w:hyperlink r:id="rId17" w:tooltip="mailto:etienne.baudon@expertisefrance.fr" w:history="1">
              <w:r>
                <w:rPr>
                  <w:rStyle w:val="Lienhypertexte"/>
                  <w:rFonts w:asciiTheme="minorHAnsi" w:hAnsiTheme="minorHAnsi" w:cs="Calibri"/>
                  <w:sz w:val="22"/>
                  <w:szCs w:val="22"/>
                </w:rPr>
                <w:t>etienne.baudon@expertisefrance.fr</w:t>
              </w:r>
            </w:hyperlink>
          </w:p>
          <w:p w14:paraId="316D1003" w14:textId="77777777" w:rsidR="009A04D7" w:rsidRDefault="009A04D7" w:rsidP="009A04D7">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06B46D2D" w14:textId="400C003B" w:rsidR="00D07897" w:rsidRPr="000D43C1" w:rsidRDefault="009A04D7" w:rsidP="009A04D7">
            <w:pPr>
              <w:widowControl w:val="0"/>
              <w:numPr>
                <w:ilvl w:val="12"/>
                <w:numId w:val="0"/>
              </w:numPr>
              <w:spacing w:line="240" w:lineRule="auto"/>
              <w:jc w:val="both"/>
              <w:rPr>
                <w:rFonts w:asciiTheme="minorHAnsi" w:hAnsiTheme="minorHAnsi" w:cs="Arial"/>
                <w:sz w:val="22"/>
                <w:highlight w:val="yellow"/>
              </w:rPr>
            </w:pPr>
            <w:r>
              <w:rPr>
                <w:rFonts w:asciiTheme="minorHAnsi" w:hAnsiTheme="minorHAnsi" w:cs="Arial"/>
                <w:sz w:val="22"/>
                <w:lang w:val="en-GB"/>
              </w:rPr>
              <w:t>F-75005 PARIS</w:t>
            </w:r>
          </w:p>
        </w:tc>
      </w:tr>
      <w:tr w:rsidR="00D07897" w:rsidRPr="008772D7"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4"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4"/>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14:paraId="7CCFBF9C"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lastRenderedPageBreak/>
        <w:t>Cardboard ;</w:t>
      </w:r>
      <w:proofErr w:type="gramEnd"/>
    </w:p>
    <w:p w14:paraId="6F5812F5"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B11E67">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B11E67">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140836339"/>
      <w:r w:rsidRPr="000D43C1">
        <w:rPr>
          <w:rFonts w:asciiTheme="minorHAnsi" w:hAnsiTheme="minorHAnsi"/>
          <w:b/>
          <w:bCs/>
          <w:caps/>
          <w:sz w:val="24"/>
          <w:u w:val="single"/>
          <w:lang w:val="en"/>
        </w:rPr>
        <w:t>Re-examination clause</w:t>
      </w:r>
      <w:bookmarkEnd w:id="55"/>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331A96CA" w:rsidR="009766DB" w:rsidRPr="001A10AE" w:rsidRDefault="009766DB" w:rsidP="00B11E67">
      <w:pPr>
        <w:pStyle w:val="u"/>
        <w:widowControl w:val="0"/>
        <w:numPr>
          <w:ilvl w:val="0"/>
          <w:numId w:val="14"/>
        </w:numPr>
        <w:spacing w:before="120"/>
        <w:rPr>
          <w:rFonts w:asciiTheme="minorHAnsi" w:hAnsiTheme="minorHAnsi" w:cstheme="minorHAnsi"/>
          <w:szCs w:val="22"/>
          <w:lang w:val="en-GB"/>
        </w:rPr>
      </w:pPr>
      <w:r w:rsidRPr="001A10AE">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1A10AE">
        <w:rPr>
          <w:rFonts w:asciiTheme="minorHAnsi" w:hAnsiTheme="minorHAnsi" w:cstheme="minorHAnsi"/>
          <w:smallCaps/>
          <w:szCs w:val="22"/>
          <w:lang w:val="en-GB"/>
        </w:rPr>
        <w:t>Expertise France</w:t>
      </w:r>
      <w:r w:rsidRPr="001A10AE">
        <w:rPr>
          <w:rFonts w:asciiTheme="minorHAnsi" w:hAnsiTheme="minorHAnsi" w:cstheme="minorHAnsi"/>
          <w:szCs w:val="22"/>
          <w:lang w:val="en"/>
        </w:rPr>
        <w:t>;</w:t>
      </w:r>
    </w:p>
    <w:p w14:paraId="6EE97B49" w14:textId="48FB47BA" w:rsidR="009766DB" w:rsidRPr="001A10AE" w:rsidRDefault="009766DB" w:rsidP="00B11E67">
      <w:pPr>
        <w:pStyle w:val="u"/>
        <w:widowControl w:val="0"/>
        <w:numPr>
          <w:ilvl w:val="0"/>
          <w:numId w:val="14"/>
        </w:numPr>
        <w:spacing w:before="120"/>
        <w:rPr>
          <w:rFonts w:asciiTheme="minorHAnsi" w:hAnsiTheme="minorHAnsi" w:cstheme="minorHAnsi"/>
          <w:szCs w:val="22"/>
          <w:lang w:val="en-GB"/>
        </w:rPr>
      </w:pPr>
      <w:r w:rsidRPr="001A10AE">
        <w:rPr>
          <w:rFonts w:asciiTheme="minorHAnsi" w:hAnsiTheme="minorHAnsi" w:cstheme="minorHAnsi"/>
          <w:szCs w:val="22"/>
          <w:lang w:val="en"/>
        </w:rPr>
        <w:t>Revision of technical elements (clarification of deliverables, producer technical definitions, equipment technical documen</w:t>
      </w:r>
      <w:r w:rsidR="001A10AE" w:rsidRPr="001A10AE">
        <w:rPr>
          <w:rFonts w:asciiTheme="minorHAnsi" w:hAnsiTheme="minorHAnsi" w:cstheme="minorHAnsi"/>
          <w:szCs w:val="22"/>
          <w:lang w:val="en"/>
        </w:rPr>
        <w:t>ts, updated instructions, etc.)</w:t>
      </w:r>
      <w:r w:rsidRPr="001A10AE">
        <w:rPr>
          <w:rFonts w:asciiTheme="minorHAnsi" w:hAnsiTheme="minorHAnsi" w:cstheme="minorHAnsi"/>
          <w:szCs w:val="22"/>
          <w:lang w:val="en"/>
        </w:rPr>
        <w:t>.</w:t>
      </w:r>
    </w:p>
    <w:p w14:paraId="5B988840" w14:textId="31C319B6"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E21AC1">
        <w:rPr>
          <w:rFonts w:asciiTheme="minorHAnsi" w:hAnsiTheme="minorHAnsi" w:cstheme="minorHAnsi"/>
          <w:szCs w:val="22"/>
          <w:lang w:val="en"/>
        </w:rPr>
        <w:t>.</w:t>
      </w:r>
    </w:p>
    <w:p w14:paraId="1E86081C" w14:textId="77777777" w:rsidR="00C64382" w:rsidRPr="000D43C1" w:rsidRDefault="00C64382"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40836340"/>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40836341"/>
      <w:r w:rsidRPr="000F76A5">
        <w:rPr>
          <w:rFonts w:asciiTheme="minorHAnsi" w:hAnsiTheme="minorHAnsi"/>
          <w:b/>
          <w:bCs/>
          <w:caps/>
          <w:sz w:val="24"/>
          <w:u w:val="single"/>
          <w:lang w:val="en"/>
        </w:rPr>
        <w:t>penalties</w:t>
      </w:r>
      <w:bookmarkEnd w:id="58"/>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9" w:name="_Toc140836342"/>
      <w:r w:rsidRPr="000F76A5">
        <w:rPr>
          <w:rFonts w:asciiTheme="minorHAnsi" w:hAnsiTheme="minorHAnsi"/>
          <w:sz w:val="22"/>
          <w:szCs w:val="22"/>
          <w:lang w:val="en"/>
        </w:rPr>
        <w:t>Penalties for periodic documentary deliverables</w:t>
      </w:r>
      <w:bookmarkEnd w:id="59"/>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3"/>
      <w:r w:rsidRPr="000F76A5">
        <w:rPr>
          <w:rFonts w:asciiTheme="minorHAnsi" w:hAnsiTheme="minorHAnsi"/>
          <w:sz w:val="22"/>
          <w:szCs w:val="22"/>
          <w:lang w:val="en"/>
        </w:rPr>
        <w:t>Penalties applicable to submission of final deliverables</w:t>
      </w:r>
      <w:bookmarkEnd w:id="60"/>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140836344"/>
      <w:r w:rsidRPr="000F76A5">
        <w:rPr>
          <w:rFonts w:asciiTheme="minorHAnsi" w:hAnsiTheme="minorHAnsi"/>
          <w:b/>
          <w:bCs/>
          <w:caps/>
          <w:sz w:val="24"/>
          <w:u w:val="single"/>
          <w:lang w:val="en"/>
        </w:rPr>
        <w:lastRenderedPageBreak/>
        <w:t>intellectual property</w:t>
      </w:r>
      <w:bookmarkEnd w:id="61"/>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2" w:name="_Toc140836345"/>
      <w:bookmarkStart w:id="63" w:name="_Toc392669651"/>
      <w:r w:rsidRPr="000F76A5">
        <w:rPr>
          <w:rFonts w:asciiTheme="minorHAnsi" w:hAnsiTheme="minorHAnsi"/>
          <w:sz w:val="22"/>
          <w:szCs w:val="22"/>
          <w:lang w:val="en"/>
        </w:rPr>
        <w:t>Definitions</w:t>
      </w:r>
      <w:bookmarkEnd w:id="62"/>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B11E67">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B11E67">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B11E67">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4" w:name="_Toc140836346"/>
      <w:r w:rsidRPr="000F76A5">
        <w:rPr>
          <w:rFonts w:asciiTheme="minorHAnsi" w:hAnsiTheme="minorHAnsi"/>
          <w:sz w:val="22"/>
          <w:szCs w:val="22"/>
          <w:lang w:val="en"/>
        </w:rPr>
        <w:t>Ownership of results</w:t>
      </w:r>
      <w:bookmarkEnd w:id="64"/>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5" w:name="_Toc140836347"/>
      <w:r w:rsidRPr="000F76A5">
        <w:rPr>
          <w:rFonts w:asciiTheme="minorHAnsi" w:hAnsiTheme="minorHAnsi"/>
          <w:sz w:val="22"/>
          <w:szCs w:val="22"/>
          <w:lang w:val="en"/>
        </w:rPr>
        <w:t>Exploitation of results</w:t>
      </w:r>
      <w:bookmarkEnd w:id="65"/>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B11E67">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B11E67">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B11E67">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B11E67">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B11E67">
      <w:pPr>
        <w:pStyle w:val="Paragraphedeliste"/>
        <w:numPr>
          <w:ilvl w:val="1"/>
          <w:numId w:val="9"/>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6" w:name="_Toc140836348"/>
      <w:r w:rsidRPr="000F76A5">
        <w:rPr>
          <w:rFonts w:asciiTheme="minorHAnsi" w:hAnsiTheme="minorHAnsi"/>
          <w:sz w:val="22"/>
          <w:szCs w:val="22"/>
          <w:lang w:val="en"/>
        </w:rPr>
        <w:lastRenderedPageBreak/>
        <w:t>Licensing of pre-existing rights</w:t>
      </w:r>
      <w:bookmarkEnd w:id="66"/>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7" w:name="_Toc140836349"/>
      <w:r w:rsidRPr="000F76A5">
        <w:rPr>
          <w:rFonts w:asciiTheme="minorHAnsi" w:hAnsiTheme="minorHAnsi"/>
          <w:sz w:val="22"/>
          <w:szCs w:val="22"/>
          <w:lang w:val="en"/>
        </w:rPr>
        <w:t>Guarantees</w:t>
      </w:r>
      <w:bookmarkEnd w:id="67"/>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8" w:name="_Toc140836350"/>
      <w:r w:rsidRPr="000F76A5">
        <w:rPr>
          <w:rFonts w:asciiTheme="minorHAnsi" w:hAnsiTheme="minorHAnsi"/>
          <w:sz w:val="22"/>
          <w:szCs w:val="22"/>
          <w:lang w:val="en"/>
        </w:rPr>
        <w:t>Image rights</w:t>
      </w:r>
      <w:bookmarkEnd w:id="68"/>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140836351"/>
      <w:bookmarkEnd w:id="63"/>
      <w:r w:rsidRPr="0026644D">
        <w:rPr>
          <w:rFonts w:asciiTheme="minorHAnsi" w:hAnsiTheme="minorHAnsi"/>
          <w:b/>
          <w:bCs/>
          <w:caps/>
          <w:sz w:val="24"/>
          <w:u w:val="single"/>
          <w:lang w:val="en"/>
        </w:rPr>
        <w:t>Termination of the contract</w:t>
      </w:r>
      <w:bookmarkEnd w:id="69"/>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0" w:name="_Toc140836352"/>
      <w:r w:rsidRPr="0026644D">
        <w:rPr>
          <w:rFonts w:asciiTheme="minorHAnsi" w:hAnsiTheme="minorHAnsi" w:cstheme="minorHAnsi"/>
          <w:sz w:val="22"/>
          <w:szCs w:val="22"/>
          <w:lang w:val="en"/>
        </w:rPr>
        <w:t>General terms of performance</w:t>
      </w:r>
      <w:bookmarkEnd w:id="70"/>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1" w:name="_Toc140836353"/>
      <w:r w:rsidRPr="0026644D">
        <w:rPr>
          <w:rFonts w:asciiTheme="minorHAnsi" w:hAnsiTheme="minorHAnsi" w:cstheme="minorHAnsi"/>
          <w:sz w:val="22"/>
          <w:szCs w:val="22"/>
          <w:lang w:val="en"/>
        </w:rPr>
        <w:t>Termination of the Contract due to the non-availability of a designated expert</w:t>
      </w:r>
      <w:bookmarkEnd w:id="71"/>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382EEC35"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Regardless of the circumstances, should an expert remain unavailabl</w:t>
      </w:r>
      <w:r w:rsidR="00BC5BBD">
        <w:rPr>
          <w:rFonts w:asciiTheme="minorHAnsi" w:hAnsiTheme="minorHAnsi" w:cstheme="minorHAnsi"/>
          <w:sz w:val="22"/>
          <w:szCs w:val="22"/>
          <w:lang w:val="en"/>
        </w:rPr>
        <w:t xml:space="preserve">e for a cumulative duration of </w:t>
      </w:r>
      <w:r w:rsidR="00BC5BBD" w:rsidRPr="00BC5BBD">
        <w:rPr>
          <w:rFonts w:asciiTheme="minorHAnsi" w:hAnsiTheme="minorHAnsi" w:cstheme="minorHAnsi"/>
          <w:b/>
          <w:sz w:val="22"/>
          <w:szCs w:val="22"/>
          <w:lang w:val="en"/>
        </w:rPr>
        <w:t>0</w:t>
      </w:r>
      <w:r w:rsidR="00BC5BBD">
        <w:rPr>
          <w:rFonts w:asciiTheme="minorHAnsi" w:hAnsiTheme="minorHAnsi" w:cstheme="minorHAnsi"/>
          <w:b/>
          <w:sz w:val="22"/>
          <w:szCs w:val="22"/>
          <w:lang w:val="en"/>
        </w:rPr>
        <w:t>3</w:t>
      </w:r>
      <w:r w:rsidRPr="00BC5BBD">
        <w:rPr>
          <w:rFonts w:asciiTheme="minorHAnsi" w:hAnsiTheme="minorHAnsi" w:cstheme="minorHAnsi"/>
          <w:b/>
          <w:sz w:val="22"/>
          <w:szCs w:val="22"/>
          <w:lang w:val="en"/>
        </w:rPr>
        <w:t xml:space="preserve"> weeks</w:t>
      </w:r>
      <w:r w:rsidRPr="0026644D">
        <w:rPr>
          <w:rFonts w:asciiTheme="minorHAnsi" w:hAnsiTheme="minorHAnsi" w:cstheme="minorHAnsi"/>
          <w:sz w:val="22"/>
          <w:szCs w:val="22"/>
          <w:lang w:val="en"/>
        </w:rPr>
        <w:t xml:space="preserve">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2" w:name="_Toc140836354"/>
      <w:r w:rsidRPr="0026644D">
        <w:rPr>
          <w:rFonts w:asciiTheme="minorHAnsi" w:hAnsiTheme="minorHAnsi" w:cstheme="minorHAnsi"/>
          <w:sz w:val="22"/>
          <w:szCs w:val="22"/>
          <w:lang w:val="en"/>
        </w:rPr>
        <w:lastRenderedPageBreak/>
        <w:t>Procedure</w:t>
      </w:r>
      <w:bookmarkEnd w:id="72"/>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3"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3"/>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4"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26923320"/>
      <w:bookmarkStart w:id="76" w:name="_Toc127876026"/>
      <w:bookmarkStart w:id="77" w:name="_Toc140836356"/>
      <w:bookmarkStart w:id="78" w:name="_Toc140836357"/>
      <w:bookmarkEnd w:id="74"/>
      <w:bookmarkEnd w:id="75"/>
      <w:bookmarkEnd w:id="76"/>
      <w:bookmarkEnd w:id="77"/>
      <w:r w:rsidRPr="0026644D">
        <w:rPr>
          <w:rFonts w:asciiTheme="minorHAnsi" w:hAnsiTheme="minorHAnsi"/>
          <w:b/>
          <w:bCs/>
          <w:caps/>
          <w:sz w:val="24"/>
          <w:u w:val="single"/>
          <w:lang w:val="en"/>
        </w:rPr>
        <w:t>ethics</w:t>
      </w:r>
      <w:bookmarkEnd w:id="78"/>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1566"/>
      <w:bookmarkStart w:id="80" w:name="_Toc70411012"/>
      <w:bookmarkStart w:id="81" w:name="_Toc70410878"/>
      <w:bookmarkStart w:id="82" w:name="_Toc70411565"/>
      <w:bookmarkStart w:id="83" w:name="_Toc70411011"/>
      <w:bookmarkStart w:id="84" w:name="_Toc70410877"/>
      <w:bookmarkStart w:id="85" w:name="_Toc70411564"/>
      <w:bookmarkStart w:id="86" w:name="_Toc70411010"/>
      <w:bookmarkStart w:id="87" w:name="_Toc70410876"/>
      <w:bookmarkStart w:id="88" w:name="_Toc70411560"/>
      <w:bookmarkStart w:id="89" w:name="_Toc70411006"/>
      <w:bookmarkStart w:id="90" w:name="_Toc70410872"/>
      <w:bookmarkStart w:id="91" w:name="_Toc70411559"/>
      <w:bookmarkStart w:id="92" w:name="_Toc70411005"/>
      <w:bookmarkStart w:id="93" w:name="_Toc70410871"/>
      <w:bookmarkStart w:id="94" w:name="_Toc70411556"/>
      <w:bookmarkStart w:id="95" w:name="_Toc70411002"/>
      <w:bookmarkStart w:id="96" w:name="_Toc70410868"/>
      <w:bookmarkStart w:id="97" w:name="_Toc70411555"/>
      <w:bookmarkStart w:id="98" w:name="_Toc70411001"/>
      <w:bookmarkStart w:id="99" w:name="_Toc70410867"/>
      <w:bookmarkStart w:id="100" w:name="_Toc70411554"/>
      <w:bookmarkStart w:id="101" w:name="_Toc70411000"/>
      <w:bookmarkStart w:id="102" w:name="_Toc70410866"/>
      <w:bookmarkStart w:id="103" w:name="_Toc70411551"/>
      <w:bookmarkStart w:id="104" w:name="_Toc70410997"/>
      <w:bookmarkStart w:id="105" w:name="_Toc70410863"/>
      <w:bookmarkStart w:id="106" w:name="_Toc70411550"/>
      <w:bookmarkStart w:id="107" w:name="_Toc70410996"/>
      <w:bookmarkStart w:id="108" w:name="_Toc70410862"/>
      <w:bookmarkStart w:id="109" w:name="_Toc70411549"/>
      <w:bookmarkStart w:id="110" w:name="_Toc70410995"/>
      <w:bookmarkStart w:id="111" w:name="_Toc70410861"/>
      <w:bookmarkStart w:id="112" w:name="_Toc70411548"/>
      <w:bookmarkStart w:id="113" w:name="_Toc70410994"/>
      <w:bookmarkStart w:id="114" w:name="_Toc70410860"/>
      <w:bookmarkStart w:id="115" w:name="_Toc70411547"/>
      <w:bookmarkStart w:id="116" w:name="_Toc70410993"/>
      <w:bookmarkStart w:id="117" w:name="_Toc70410859"/>
      <w:bookmarkStart w:id="118" w:name="_Toc70411546"/>
      <w:bookmarkStart w:id="119" w:name="_Toc70410992"/>
      <w:bookmarkStart w:id="120" w:name="_Toc70410858"/>
      <w:bookmarkStart w:id="121" w:name="_Toc70411545"/>
      <w:bookmarkStart w:id="122" w:name="_Toc70410991"/>
      <w:bookmarkStart w:id="123" w:name="_Toc70410857"/>
      <w:bookmarkStart w:id="124" w:name="_Toc14083635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80375E">
        <w:rPr>
          <w:rFonts w:asciiTheme="minorHAnsi" w:hAnsiTheme="minorHAnsi"/>
          <w:b/>
          <w:bCs/>
          <w:caps/>
          <w:sz w:val="24"/>
          <w:u w:val="single"/>
          <w:lang w:val="en"/>
        </w:rPr>
        <w:t>Administration of personal data</w:t>
      </w:r>
      <w:bookmarkEnd w:id="124"/>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B11E67">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B11E67">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B11E67">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B11E67">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5"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40836359"/>
      <w:bookmarkEnd w:id="125"/>
      <w:r w:rsidRPr="00025DBE">
        <w:rPr>
          <w:rFonts w:asciiTheme="minorHAnsi" w:hAnsiTheme="minorHAnsi"/>
          <w:b/>
          <w:bCs/>
          <w:caps/>
          <w:sz w:val="24"/>
          <w:u w:val="single"/>
          <w:lang w:val="en"/>
        </w:rPr>
        <w:t>Dispute resolution - applicable law</w:t>
      </w:r>
      <w:bookmarkEnd w:id="126"/>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3324"/>
      <w:bookmarkStart w:id="128" w:name="_Toc127876030"/>
      <w:bookmarkStart w:id="129" w:name="_Toc140836360"/>
      <w:bookmarkStart w:id="130" w:name="_Toc140836361"/>
      <w:bookmarkEnd w:id="127"/>
      <w:bookmarkEnd w:id="128"/>
      <w:bookmarkEnd w:id="129"/>
      <w:r w:rsidRPr="00D31A4D">
        <w:rPr>
          <w:rFonts w:asciiTheme="minorHAnsi" w:hAnsiTheme="minorHAnsi"/>
          <w:b/>
          <w:bCs/>
          <w:caps/>
          <w:sz w:val="24"/>
          <w:u w:val="single"/>
          <w:lang w:val="en"/>
        </w:rPr>
        <w:t>Derogation from the CCAG</w:t>
      </w:r>
      <w:bookmarkEnd w:id="130"/>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B11E67">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B11E67">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1" w:name="_Toc140836362"/>
      <w:r w:rsidRPr="00F13E6E">
        <w:rPr>
          <w:rFonts w:asciiTheme="minorHAnsi" w:hAnsiTheme="minorHAnsi"/>
          <w:b/>
          <w:bCs/>
          <w:caps/>
          <w:sz w:val="24"/>
          <w:u w:val="single"/>
          <w:lang w:val="en"/>
        </w:rPr>
        <w:t>AUDIT</w:t>
      </w:r>
      <w:bookmarkEnd w:id="131"/>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2"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B11E67">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B11E67">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B11E67">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B11E67">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lastRenderedPageBreak/>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B11E6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2"/>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3" w:name="_Toc392669654"/>
      <w:bookmarkStart w:id="134" w:name="_Toc140836364"/>
      <w:r w:rsidRPr="00D31A4D">
        <w:rPr>
          <w:rFonts w:asciiTheme="minorHAnsi" w:hAnsiTheme="minorHAnsi"/>
          <w:sz w:val="22"/>
          <w:szCs w:val="22"/>
          <w:lang w:val="en"/>
        </w:rPr>
        <w:t>Declaration</w:t>
      </w:r>
      <w:bookmarkEnd w:id="133"/>
      <w:bookmarkEnd w:id="134"/>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B11E67">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B11E67">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B11E67">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B11E67">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B11E67">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B11E67">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B11E67">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xml:space="preserve">, notably in the fight against the financing of terrorism and </w:t>
      </w:r>
      <w:r w:rsidR="00493E90">
        <w:rPr>
          <w:rFonts w:ascii="Calibri" w:hAnsi="Calibri"/>
          <w:sz w:val="22"/>
          <w:lang w:val="en-GB"/>
        </w:rPr>
        <w:lastRenderedPageBreak/>
        <w:t>against attacks on national peace and security. For information, the lists can be consulted at the references below:</w:t>
      </w:r>
    </w:p>
    <w:p w14:paraId="2669C40B" w14:textId="1FB15304" w:rsidR="00493E90" w:rsidRDefault="00493E90" w:rsidP="00B11E67">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B11E67">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B11E67">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B11E67">
      <w:pPr>
        <w:pStyle w:val="En-tte"/>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B11E67">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CA6F16" w:rsidP="00273C7F">
      <w:pPr>
        <w:pStyle w:val="En-tte"/>
        <w:ind w:left="851"/>
        <w:jc w:val="both"/>
        <w:rPr>
          <w:rFonts w:ascii="Calibri" w:hAnsi="Calibri"/>
          <w:sz w:val="22"/>
          <w:lang w:val="en-GB"/>
        </w:rPr>
      </w:pPr>
      <w:hyperlink r:id="rId27"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5" w:name="_Toc140836365"/>
      <w:r>
        <w:rPr>
          <w:rFonts w:asciiTheme="minorHAnsi" w:hAnsiTheme="minorHAnsi"/>
          <w:b/>
          <w:bCs/>
          <w:caps/>
          <w:sz w:val="24"/>
          <w:lang w:val="en"/>
        </w:rPr>
        <w:t>Annex 1: Specifications</w:t>
      </w:r>
      <w:bookmarkEnd w:id="135"/>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BECBD" w14:textId="77777777" w:rsidR="00CA6F16" w:rsidRDefault="00CA6F16">
      <w:r>
        <w:separator/>
      </w:r>
    </w:p>
  </w:endnote>
  <w:endnote w:type="continuationSeparator" w:id="0">
    <w:p w14:paraId="26D01B84" w14:textId="77777777" w:rsidR="00CA6F16" w:rsidRDefault="00CA6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8E5C58" w:rsidRPr="00EE0FDD" w:rsidRDefault="008E5C58"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0A30F8F" w:rsidR="008E5C58" w:rsidRPr="00263FD0" w:rsidRDefault="008E5C58"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14C5D">
              <w:rPr>
                <w:rFonts w:asciiTheme="minorHAnsi" w:hAnsiTheme="minorHAnsi"/>
                <w:noProof/>
                <w:sz w:val="22"/>
                <w:szCs w:val="22"/>
                <w:lang w:val="en"/>
              </w:rPr>
              <w:t>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14C5D">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8E5C58" w:rsidRPr="00FF1F8E" w:rsidRDefault="00CA6F16"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8E5C58" w:rsidRPr="00EE0FDD" w:rsidRDefault="008E5C58"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12FD44D" w:rsidR="008E5C58" w:rsidRPr="00263FD0" w:rsidRDefault="008E5C58"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14C5D">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14C5D">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8E5C58" w:rsidRPr="0036169C" w:rsidRDefault="008E5C58"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8E5C58" w:rsidRDefault="008E5C58"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8E5C58" w:rsidRPr="0036169C" w:rsidRDefault="008E5C58"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8E5C58" w:rsidRDefault="008E5C58">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F195C" w14:textId="77777777" w:rsidR="00CA6F16" w:rsidRDefault="00CA6F16">
      <w:r>
        <w:separator/>
      </w:r>
    </w:p>
  </w:footnote>
  <w:footnote w:type="continuationSeparator" w:id="0">
    <w:p w14:paraId="47F251B0" w14:textId="77777777" w:rsidR="00CA6F16" w:rsidRDefault="00CA6F16">
      <w:r>
        <w:continuationSeparator/>
      </w:r>
    </w:p>
  </w:footnote>
  <w:footnote w:id="1">
    <w:p w14:paraId="3C4F3CA5" w14:textId="77777777" w:rsidR="008E5C58" w:rsidRPr="0050283E" w:rsidRDefault="008E5C58"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8E5C58" w:rsidRDefault="008E5C58"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8E5C58" w:rsidRDefault="008E5C58"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8E5C58" w:rsidRDefault="008E5C58"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8E5C58" w:rsidRDefault="008E5C58">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8E5C58" w:rsidRDefault="008E5C58"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8E5C58" w:rsidRDefault="008E5C58"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8E5C58" w:rsidRPr="00707B69" w:rsidRDefault="008E5C58"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8E5C58" w:rsidRPr="00AC48DD" w:rsidRDefault="008E5C5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8E5C58" w:rsidRPr="00F13E6E" w:rsidRDefault="008E5C58"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8E5C58" w:rsidRPr="00AC48DD" w:rsidRDefault="008E5C5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8E5C58" w:rsidRPr="00707B69" w:rsidRDefault="008E5C58"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8E5C58" w:rsidRPr="00AC48DD" w:rsidRDefault="008E5C5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8E5C58" w:rsidRDefault="008E5C58"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8E5C58" w:rsidRPr="00AC48DD" w:rsidRDefault="008E5C5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8E5C58" w:rsidRPr="00707B69" w:rsidRDefault="008E5C58"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8E5C58" w:rsidRPr="00AC48DD" w:rsidRDefault="008E5C5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8E5C58" w:rsidRDefault="008E5C58"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8E5C58" w:rsidRPr="00996FEA" w:rsidRDefault="008E5C58"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D427B"/>
    <w:multiLevelType w:val="hybridMultilevel"/>
    <w:tmpl w:val="24DC6D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A2649"/>
    <w:multiLevelType w:val="multilevel"/>
    <w:tmpl w:val="D0AE339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7"/>
  </w:num>
  <w:num w:numId="4">
    <w:abstractNumId w:val="2"/>
  </w:num>
  <w:num w:numId="5">
    <w:abstractNumId w:val="13"/>
  </w:num>
  <w:num w:numId="6">
    <w:abstractNumId w:val="5"/>
  </w:num>
  <w:num w:numId="7">
    <w:abstractNumId w:val="9"/>
  </w:num>
  <w:num w:numId="8">
    <w:abstractNumId w:val="11"/>
  </w:num>
  <w:num w:numId="9">
    <w:abstractNumId w:val="21"/>
  </w:num>
  <w:num w:numId="10">
    <w:abstractNumId w:val="15"/>
  </w:num>
  <w:num w:numId="11">
    <w:abstractNumId w:val="4"/>
  </w:num>
  <w:num w:numId="12">
    <w:abstractNumId w:val="18"/>
  </w:num>
  <w:num w:numId="13">
    <w:abstractNumId w:val="16"/>
  </w:num>
  <w:num w:numId="14">
    <w:abstractNumId w:val="6"/>
  </w:num>
  <w:num w:numId="15">
    <w:abstractNumId w:val="12"/>
  </w:num>
  <w:num w:numId="16">
    <w:abstractNumId w:val="10"/>
  </w:num>
  <w:num w:numId="17">
    <w:abstractNumId w:val="22"/>
  </w:num>
  <w:num w:numId="18">
    <w:abstractNumId w:val="20"/>
  </w:num>
  <w:num w:numId="19">
    <w:abstractNumId w:val="7"/>
  </w:num>
  <w:num w:numId="20">
    <w:abstractNumId w:val="20"/>
  </w:num>
  <w:num w:numId="21">
    <w:abstractNumId w:val="8"/>
  </w:num>
  <w:num w:numId="22">
    <w:abstractNumId w:val="19"/>
  </w:num>
  <w:num w:numId="2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0928"/>
    <w:rsid w:val="00012580"/>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4868"/>
    <w:rsid w:val="000569A8"/>
    <w:rsid w:val="00062C21"/>
    <w:rsid w:val="000631C6"/>
    <w:rsid w:val="0006442E"/>
    <w:rsid w:val="00064B06"/>
    <w:rsid w:val="00064FD8"/>
    <w:rsid w:val="000708A6"/>
    <w:rsid w:val="00075F8E"/>
    <w:rsid w:val="00076320"/>
    <w:rsid w:val="0007670D"/>
    <w:rsid w:val="00077E95"/>
    <w:rsid w:val="00086BE7"/>
    <w:rsid w:val="00087881"/>
    <w:rsid w:val="000916BC"/>
    <w:rsid w:val="00092030"/>
    <w:rsid w:val="00093B0E"/>
    <w:rsid w:val="000964DE"/>
    <w:rsid w:val="000A4C31"/>
    <w:rsid w:val="000A6914"/>
    <w:rsid w:val="000A6D39"/>
    <w:rsid w:val="000A6E96"/>
    <w:rsid w:val="000B4CA7"/>
    <w:rsid w:val="000B55A0"/>
    <w:rsid w:val="000C096F"/>
    <w:rsid w:val="000C0B75"/>
    <w:rsid w:val="000C4A41"/>
    <w:rsid w:val="000C5E22"/>
    <w:rsid w:val="000C7D83"/>
    <w:rsid w:val="000D19AC"/>
    <w:rsid w:val="000D1A0F"/>
    <w:rsid w:val="000D3533"/>
    <w:rsid w:val="000D43C1"/>
    <w:rsid w:val="000D4E94"/>
    <w:rsid w:val="000D7365"/>
    <w:rsid w:val="000E56D6"/>
    <w:rsid w:val="000F17F1"/>
    <w:rsid w:val="000F38C0"/>
    <w:rsid w:val="000F3902"/>
    <w:rsid w:val="000F3D1E"/>
    <w:rsid w:val="000F52C5"/>
    <w:rsid w:val="000F5E16"/>
    <w:rsid w:val="000F6172"/>
    <w:rsid w:val="000F76A5"/>
    <w:rsid w:val="000F7BAD"/>
    <w:rsid w:val="001004B9"/>
    <w:rsid w:val="00101663"/>
    <w:rsid w:val="00101E9A"/>
    <w:rsid w:val="00110630"/>
    <w:rsid w:val="00113F82"/>
    <w:rsid w:val="00115428"/>
    <w:rsid w:val="00122959"/>
    <w:rsid w:val="00123D1A"/>
    <w:rsid w:val="00127A5B"/>
    <w:rsid w:val="00131CF0"/>
    <w:rsid w:val="00133C0E"/>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294"/>
    <w:rsid w:val="00187455"/>
    <w:rsid w:val="0018750E"/>
    <w:rsid w:val="00192EDE"/>
    <w:rsid w:val="00197CF8"/>
    <w:rsid w:val="001A10AE"/>
    <w:rsid w:val="001A67C2"/>
    <w:rsid w:val="001B09F1"/>
    <w:rsid w:val="001B140A"/>
    <w:rsid w:val="001B546E"/>
    <w:rsid w:val="001B5605"/>
    <w:rsid w:val="001B6DF5"/>
    <w:rsid w:val="001C126E"/>
    <w:rsid w:val="001C717F"/>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481F"/>
    <w:rsid w:val="00217B4E"/>
    <w:rsid w:val="00224471"/>
    <w:rsid w:val="002251EE"/>
    <w:rsid w:val="00226839"/>
    <w:rsid w:val="0022782C"/>
    <w:rsid w:val="00232941"/>
    <w:rsid w:val="00233012"/>
    <w:rsid w:val="00234430"/>
    <w:rsid w:val="0023447B"/>
    <w:rsid w:val="002352A4"/>
    <w:rsid w:val="00241F88"/>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E7D95"/>
    <w:rsid w:val="002F0361"/>
    <w:rsid w:val="002F072C"/>
    <w:rsid w:val="002F2D1F"/>
    <w:rsid w:val="002F342B"/>
    <w:rsid w:val="002F7CF5"/>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322D1"/>
    <w:rsid w:val="0033560F"/>
    <w:rsid w:val="0034115E"/>
    <w:rsid w:val="00341850"/>
    <w:rsid w:val="00345172"/>
    <w:rsid w:val="00345AEE"/>
    <w:rsid w:val="00347846"/>
    <w:rsid w:val="00347D93"/>
    <w:rsid w:val="003532E1"/>
    <w:rsid w:val="0035453E"/>
    <w:rsid w:val="00354C0E"/>
    <w:rsid w:val="00355606"/>
    <w:rsid w:val="00357B46"/>
    <w:rsid w:val="00363261"/>
    <w:rsid w:val="00366937"/>
    <w:rsid w:val="00370EDB"/>
    <w:rsid w:val="00375751"/>
    <w:rsid w:val="003805AF"/>
    <w:rsid w:val="0038233D"/>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0CC3"/>
    <w:rsid w:val="003F36C1"/>
    <w:rsid w:val="004073C5"/>
    <w:rsid w:val="0040763A"/>
    <w:rsid w:val="0041061D"/>
    <w:rsid w:val="00410B68"/>
    <w:rsid w:val="00413542"/>
    <w:rsid w:val="0041382E"/>
    <w:rsid w:val="00416A7A"/>
    <w:rsid w:val="004208FF"/>
    <w:rsid w:val="00422F59"/>
    <w:rsid w:val="0042438D"/>
    <w:rsid w:val="00426037"/>
    <w:rsid w:val="004315ED"/>
    <w:rsid w:val="0043352D"/>
    <w:rsid w:val="00436564"/>
    <w:rsid w:val="00436E95"/>
    <w:rsid w:val="0044275E"/>
    <w:rsid w:val="004441AD"/>
    <w:rsid w:val="00445652"/>
    <w:rsid w:val="00446660"/>
    <w:rsid w:val="004537EA"/>
    <w:rsid w:val="00456853"/>
    <w:rsid w:val="0045693E"/>
    <w:rsid w:val="00456DBD"/>
    <w:rsid w:val="00463610"/>
    <w:rsid w:val="0046446F"/>
    <w:rsid w:val="00464549"/>
    <w:rsid w:val="00466A20"/>
    <w:rsid w:val="004709C6"/>
    <w:rsid w:val="00474DBA"/>
    <w:rsid w:val="0048479B"/>
    <w:rsid w:val="00490566"/>
    <w:rsid w:val="004924D7"/>
    <w:rsid w:val="00493E90"/>
    <w:rsid w:val="00495C01"/>
    <w:rsid w:val="004A099E"/>
    <w:rsid w:val="004A5D65"/>
    <w:rsid w:val="004A6AC2"/>
    <w:rsid w:val="004B2F76"/>
    <w:rsid w:val="004B34A9"/>
    <w:rsid w:val="004B47E5"/>
    <w:rsid w:val="004B5B87"/>
    <w:rsid w:val="004B5E2B"/>
    <w:rsid w:val="004B73A4"/>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326C"/>
    <w:rsid w:val="00516373"/>
    <w:rsid w:val="005176BC"/>
    <w:rsid w:val="005204FC"/>
    <w:rsid w:val="00521453"/>
    <w:rsid w:val="00521CF4"/>
    <w:rsid w:val="0052206A"/>
    <w:rsid w:val="0052225C"/>
    <w:rsid w:val="00522645"/>
    <w:rsid w:val="0052404A"/>
    <w:rsid w:val="00527D51"/>
    <w:rsid w:val="00540DA7"/>
    <w:rsid w:val="00541662"/>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77D"/>
    <w:rsid w:val="00572A21"/>
    <w:rsid w:val="00575306"/>
    <w:rsid w:val="00577E61"/>
    <w:rsid w:val="00580C7F"/>
    <w:rsid w:val="00582257"/>
    <w:rsid w:val="00583154"/>
    <w:rsid w:val="00584F07"/>
    <w:rsid w:val="005851B5"/>
    <w:rsid w:val="005862C9"/>
    <w:rsid w:val="0059238F"/>
    <w:rsid w:val="005942E9"/>
    <w:rsid w:val="005A5C63"/>
    <w:rsid w:val="005B106C"/>
    <w:rsid w:val="005B5E6E"/>
    <w:rsid w:val="005B64FD"/>
    <w:rsid w:val="005B74D9"/>
    <w:rsid w:val="005C1231"/>
    <w:rsid w:val="005C220F"/>
    <w:rsid w:val="005C24E2"/>
    <w:rsid w:val="005C2FC9"/>
    <w:rsid w:val="005C3C77"/>
    <w:rsid w:val="005C3E0B"/>
    <w:rsid w:val="005D1EE3"/>
    <w:rsid w:val="005D2A80"/>
    <w:rsid w:val="005D7631"/>
    <w:rsid w:val="005E05E8"/>
    <w:rsid w:val="005E1520"/>
    <w:rsid w:val="005E4E1E"/>
    <w:rsid w:val="005E5F3A"/>
    <w:rsid w:val="005F0451"/>
    <w:rsid w:val="005F1565"/>
    <w:rsid w:val="005F5840"/>
    <w:rsid w:val="005F639C"/>
    <w:rsid w:val="006016FC"/>
    <w:rsid w:val="00602D42"/>
    <w:rsid w:val="00603134"/>
    <w:rsid w:val="00603A99"/>
    <w:rsid w:val="00606779"/>
    <w:rsid w:val="00607E8F"/>
    <w:rsid w:val="00611A5E"/>
    <w:rsid w:val="00613784"/>
    <w:rsid w:val="00613BD8"/>
    <w:rsid w:val="00614104"/>
    <w:rsid w:val="00615984"/>
    <w:rsid w:val="00615D07"/>
    <w:rsid w:val="00617F0E"/>
    <w:rsid w:val="00624291"/>
    <w:rsid w:val="00625902"/>
    <w:rsid w:val="006305D7"/>
    <w:rsid w:val="006308F7"/>
    <w:rsid w:val="00630B0F"/>
    <w:rsid w:val="00632952"/>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3D24"/>
    <w:rsid w:val="00675BF2"/>
    <w:rsid w:val="006773DC"/>
    <w:rsid w:val="0068279C"/>
    <w:rsid w:val="006836B1"/>
    <w:rsid w:val="00684E75"/>
    <w:rsid w:val="00691170"/>
    <w:rsid w:val="00694A01"/>
    <w:rsid w:val="006A6224"/>
    <w:rsid w:val="006B60B4"/>
    <w:rsid w:val="006B620A"/>
    <w:rsid w:val="006C182E"/>
    <w:rsid w:val="006C5934"/>
    <w:rsid w:val="006D0BFE"/>
    <w:rsid w:val="006D26AA"/>
    <w:rsid w:val="006D3BE8"/>
    <w:rsid w:val="006D71D5"/>
    <w:rsid w:val="006E0586"/>
    <w:rsid w:val="006E2006"/>
    <w:rsid w:val="006E2037"/>
    <w:rsid w:val="006E2A49"/>
    <w:rsid w:val="006E57FD"/>
    <w:rsid w:val="006F295F"/>
    <w:rsid w:val="006F6849"/>
    <w:rsid w:val="00700E43"/>
    <w:rsid w:val="00701BF6"/>
    <w:rsid w:val="007056F7"/>
    <w:rsid w:val="00705EEA"/>
    <w:rsid w:val="00707B69"/>
    <w:rsid w:val="00707D55"/>
    <w:rsid w:val="00710099"/>
    <w:rsid w:val="0071011C"/>
    <w:rsid w:val="00710801"/>
    <w:rsid w:val="00712482"/>
    <w:rsid w:val="00713101"/>
    <w:rsid w:val="0071359C"/>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0CD2"/>
    <w:rsid w:val="007716CB"/>
    <w:rsid w:val="00775808"/>
    <w:rsid w:val="00781982"/>
    <w:rsid w:val="00782242"/>
    <w:rsid w:val="007925B5"/>
    <w:rsid w:val="00794721"/>
    <w:rsid w:val="00796758"/>
    <w:rsid w:val="007979DB"/>
    <w:rsid w:val="007A0E1E"/>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1420A"/>
    <w:rsid w:val="00820C40"/>
    <w:rsid w:val="00821D49"/>
    <w:rsid w:val="008234E7"/>
    <w:rsid w:val="00825188"/>
    <w:rsid w:val="0082684B"/>
    <w:rsid w:val="008269E1"/>
    <w:rsid w:val="008278A1"/>
    <w:rsid w:val="00827C44"/>
    <w:rsid w:val="00827E92"/>
    <w:rsid w:val="00836485"/>
    <w:rsid w:val="00836946"/>
    <w:rsid w:val="00841836"/>
    <w:rsid w:val="00841BE4"/>
    <w:rsid w:val="008433C7"/>
    <w:rsid w:val="008474F9"/>
    <w:rsid w:val="0084761E"/>
    <w:rsid w:val="00851F4D"/>
    <w:rsid w:val="00853098"/>
    <w:rsid w:val="00861444"/>
    <w:rsid w:val="00862433"/>
    <w:rsid w:val="0086263E"/>
    <w:rsid w:val="00863B49"/>
    <w:rsid w:val="008648C6"/>
    <w:rsid w:val="00865385"/>
    <w:rsid w:val="008714BB"/>
    <w:rsid w:val="008714FA"/>
    <w:rsid w:val="00872AE2"/>
    <w:rsid w:val="00872BD7"/>
    <w:rsid w:val="008743D9"/>
    <w:rsid w:val="008772D7"/>
    <w:rsid w:val="00883C5C"/>
    <w:rsid w:val="00884FDC"/>
    <w:rsid w:val="00887E13"/>
    <w:rsid w:val="00891619"/>
    <w:rsid w:val="00893886"/>
    <w:rsid w:val="0089599F"/>
    <w:rsid w:val="00895DB4"/>
    <w:rsid w:val="0089602D"/>
    <w:rsid w:val="00897529"/>
    <w:rsid w:val="008A0752"/>
    <w:rsid w:val="008A1CD7"/>
    <w:rsid w:val="008A2A15"/>
    <w:rsid w:val="008A32BB"/>
    <w:rsid w:val="008A4BA2"/>
    <w:rsid w:val="008A57D1"/>
    <w:rsid w:val="008A625F"/>
    <w:rsid w:val="008A72EF"/>
    <w:rsid w:val="008A7C7E"/>
    <w:rsid w:val="008B11AE"/>
    <w:rsid w:val="008B13E9"/>
    <w:rsid w:val="008B44EB"/>
    <w:rsid w:val="008B6161"/>
    <w:rsid w:val="008B6F06"/>
    <w:rsid w:val="008C01FE"/>
    <w:rsid w:val="008C6F83"/>
    <w:rsid w:val="008C7451"/>
    <w:rsid w:val="008D0EE4"/>
    <w:rsid w:val="008D127E"/>
    <w:rsid w:val="008D2C3F"/>
    <w:rsid w:val="008D5A09"/>
    <w:rsid w:val="008D61A9"/>
    <w:rsid w:val="008E082D"/>
    <w:rsid w:val="008E5C58"/>
    <w:rsid w:val="008E6900"/>
    <w:rsid w:val="008E6CCE"/>
    <w:rsid w:val="008E7987"/>
    <w:rsid w:val="008E7A24"/>
    <w:rsid w:val="009011FA"/>
    <w:rsid w:val="00902863"/>
    <w:rsid w:val="009048EE"/>
    <w:rsid w:val="00905A23"/>
    <w:rsid w:val="009069EF"/>
    <w:rsid w:val="00907A3F"/>
    <w:rsid w:val="00910565"/>
    <w:rsid w:val="0091111F"/>
    <w:rsid w:val="00912390"/>
    <w:rsid w:val="009125F0"/>
    <w:rsid w:val="00912820"/>
    <w:rsid w:val="00920016"/>
    <w:rsid w:val="009243C9"/>
    <w:rsid w:val="00936414"/>
    <w:rsid w:val="00940289"/>
    <w:rsid w:val="00941368"/>
    <w:rsid w:val="009416AD"/>
    <w:rsid w:val="009433E7"/>
    <w:rsid w:val="00944881"/>
    <w:rsid w:val="00947488"/>
    <w:rsid w:val="00947C28"/>
    <w:rsid w:val="0095137D"/>
    <w:rsid w:val="00964820"/>
    <w:rsid w:val="0097113B"/>
    <w:rsid w:val="0097249F"/>
    <w:rsid w:val="00973B1D"/>
    <w:rsid w:val="00974028"/>
    <w:rsid w:val="009766DB"/>
    <w:rsid w:val="00984461"/>
    <w:rsid w:val="009879A2"/>
    <w:rsid w:val="00990C19"/>
    <w:rsid w:val="00996094"/>
    <w:rsid w:val="00996FEA"/>
    <w:rsid w:val="009A04D7"/>
    <w:rsid w:val="009A4D19"/>
    <w:rsid w:val="009A549E"/>
    <w:rsid w:val="009B5103"/>
    <w:rsid w:val="009B584E"/>
    <w:rsid w:val="009B5F91"/>
    <w:rsid w:val="009C0B55"/>
    <w:rsid w:val="009C3F63"/>
    <w:rsid w:val="009C621B"/>
    <w:rsid w:val="009D0971"/>
    <w:rsid w:val="009D1611"/>
    <w:rsid w:val="009D1BC8"/>
    <w:rsid w:val="009D33D1"/>
    <w:rsid w:val="009D46D9"/>
    <w:rsid w:val="009D6049"/>
    <w:rsid w:val="009D60D5"/>
    <w:rsid w:val="009E048D"/>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1A7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2F9C"/>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15A5"/>
    <w:rsid w:val="00B04123"/>
    <w:rsid w:val="00B0514B"/>
    <w:rsid w:val="00B0601E"/>
    <w:rsid w:val="00B07BCD"/>
    <w:rsid w:val="00B11E67"/>
    <w:rsid w:val="00B1311C"/>
    <w:rsid w:val="00B15532"/>
    <w:rsid w:val="00B2576B"/>
    <w:rsid w:val="00B2699E"/>
    <w:rsid w:val="00B2733D"/>
    <w:rsid w:val="00B278C5"/>
    <w:rsid w:val="00B2791D"/>
    <w:rsid w:val="00B30BC2"/>
    <w:rsid w:val="00B31BF6"/>
    <w:rsid w:val="00B31F93"/>
    <w:rsid w:val="00B336D7"/>
    <w:rsid w:val="00B33DB8"/>
    <w:rsid w:val="00B340A9"/>
    <w:rsid w:val="00B352EA"/>
    <w:rsid w:val="00B35BCC"/>
    <w:rsid w:val="00B35D41"/>
    <w:rsid w:val="00B36ADB"/>
    <w:rsid w:val="00B374AA"/>
    <w:rsid w:val="00B4244A"/>
    <w:rsid w:val="00B42FD0"/>
    <w:rsid w:val="00B5031B"/>
    <w:rsid w:val="00B55D7E"/>
    <w:rsid w:val="00B56D55"/>
    <w:rsid w:val="00B703D2"/>
    <w:rsid w:val="00B71839"/>
    <w:rsid w:val="00B71FC7"/>
    <w:rsid w:val="00B723A0"/>
    <w:rsid w:val="00B747C5"/>
    <w:rsid w:val="00B75C7A"/>
    <w:rsid w:val="00B75D63"/>
    <w:rsid w:val="00B84B64"/>
    <w:rsid w:val="00B84BF7"/>
    <w:rsid w:val="00B860A9"/>
    <w:rsid w:val="00B87438"/>
    <w:rsid w:val="00B9134E"/>
    <w:rsid w:val="00B91D12"/>
    <w:rsid w:val="00B92C04"/>
    <w:rsid w:val="00B94A6D"/>
    <w:rsid w:val="00B95BD7"/>
    <w:rsid w:val="00BA6632"/>
    <w:rsid w:val="00BA76D5"/>
    <w:rsid w:val="00BB05A5"/>
    <w:rsid w:val="00BB1B18"/>
    <w:rsid w:val="00BB41F9"/>
    <w:rsid w:val="00BB519D"/>
    <w:rsid w:val="00BB55D6"/>
    <w:rsid w:val="00BB7E72"/>
    <w:rsid w:val="00BC2A22"/>
    <w:rsid w:val="00BC4CC2"/>
    <w:rsid w:val="00BC5A69"/>
    <w:rsid w:val="00BC5BBD"/>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373B5"/>
    <w:rsid w:val="00C424F0"/>
    <w:rsid w:val="00C54C14"/>
    <w:rsid w:val="00C64382"/>
    <w:rsid w:val="00C6440B"/>
    <w:rsid w:val="00C650D5"/>
    <w:rsid w:val="00C6688F"/>
    <w:rsid w:val="00C66F56"/>
    <w:rsid w:val="00C71F4D"/>
    <w:rsid w:val="00C72690"/>
    <w:rsid w:val="00C7602F"/>
    <w:rsid w:val="00C81DEF"/>
    <w:rsid w:val="00C82623"/>
    <w:rsid w:val="00C84056"/>
    <w:rsid w:val="00C8611D"/>
    <w:rsid w:val="00C919B4"/>
    <w:rsid w:val="00C94B45"/>
    <w:rsid w:val="00C9526B"/>
    <w:rsid w:val="00C9690C"/>
    <w:rsid w:val="00C973C2"/>
    <w:rsid w:val="00CA1669"/>
    <w:rsid w:val="00CA225A"/>
    <w:rsid w:val="00CA4550"/>
    <w:rsid w:val="00CA568F"/>
    <w:rsid w:val="00CA6F16"/>
    <w:rsid w:val="00CB26D7"/>
    <w:rsid w:val="00CB3840"/>
    <w:rsid w:val="00CB5E4E"/>
    <w:rsid w:val="00CB6E0F"/>
    <w:rsid w:val="00CC15CE"/>
    <w:rsid w:val="00CC6215"/>
    <w:rsid w:val="00CC625E"/>
    <w:rsid w:val="00CD00AD"/>
    <w:rsid w:val="00CD3DFE"/>
    <w:rsid w:val="00CD59DE"/>
    <w:rsid w:val="00CD6CD2"/>
    <w:rsid w:val="00CE1646"/>
    <w:rsid w:val="00CE4511"/>
    <w:rsid w:val="00CE4EA4"/>
    <w:rsid w:val="00CF023E"/>
    <w:rsid w:val="00CF1B4C"/>
    <w:rsid w:val="00CF297A"/>
    <w:rsid w:val="00CF4169"/>
    <w:rsid w:val="00CF443E"/>
    <w:rsid w:val="00CF56E8"/>
    <w:rsid w:val="00CF7430"/>
    <w:rsid w:val="00D00B3A"/>
    <w:rsid w:val="00D0410B"/>
    <w:rsid w:val="00D044BB"/>
    <w:rsid w:val="00D069BC"/>
    <w:rsid w:val="00D07897"/>
    <w:rsid w:val="00D10387"/>
    <w:rsid w:val="00D11F49"/>
    <w:rsid w:val="00D1211D"/>
    <w:rsid w:val="00D127A4"/>
    <w:rsid w:val="00D143FE"/>
    <w:rsid w:val="00D14C5D"/>
    <w:rsid w:val="00D23E07"/>
    <w:rsid w:val="00D26361"/>
    <w:rsid w:val="00D266D5"/>
    <w:rsid w:val="00D27D8A"/>
    <w:rsid w:val="00D27F14"/>
    <w:rsid w:val="00D307D0"/>
    <w:rsid w:val="00D31A4D"/>
    <w:rsid w:val="00D3292F"/>
    <w:rsid w:val="00D51BB9"/>
    <w:rsid w:val="00D569AF"/>
    <w:rsid w:val="00D57337"/>
    <w:rsid w:val="00D639EA"/>
    <w:rsid w:val="00D67295"/>
    <w:rsid w:val="00D70930"/>
    <w:rsid w:val="00D742B7"/>
    <w:rsid w:val="00D80144"/>
    <w:rsid w:val="00D81264"/>
    <w:rsid w:val="00D82729"/>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1AC1"/>
    <w:rsid w:val="00E21F5A"/>
    <w:rsid w:val="00E2207F"/>
    <w:rsid w:val="00E2279F"/>
    <w:rsid w:val="00E229AC"/>
    <w:rsid w:val="00E257FA"/>
    <w:rsid w:val="00E25860"/>
    <w:rsid w:val="00E25D2D"/>
    <w:rsid w:val="00E3012B"/>
    <w:rsid w:val="00E30C6F"/>
    <w:rsid w:val="00E326F3"/>
    <w:rsid w:val="00E33AA6"/>
    <w:rsid w:val="00E33FDA"/>
    <w:rsid w:val="00E34AF5"/>
    <w:rsid w:val="00E34F93"/>
    <w:rsid w:val="00E36430"/>
    <w:rsid w:val="00E4145C"/>
    <w:rsid w:val="00E4538E"/>
    <w:rsid w:val="00E45BA8"/>
    <w:rsid w:val="00E47DD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319"/>
    <w:rsid w:val="00ED37FE"/>
    <w:rsid w:val="00ED5F00"/>
    <w:rsid w:val="00ED6301"/>
    <w:rsid w:val="00EE1C0C"/>
    <w:rsid w:val="00EF1BFA"/>
    <w:rsid w:val="00EF2E62"/>
    <w:rsid w:val="00EF395A"/>
    <w:rsid w:val="00EF5C0A"/>
    <w:rsid w:val="00EF5E86"/>
    <w:rsid w:val="00EF653D"/>
    <w:rsid w:val="00EF68AF"/>
    <w:rsid w:val="00F01228"/>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16C1"/>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6757"/>
    <w:rsid w:val="00F87ABD"/>
    <w:rsid w:val="00F87B6B"/>
    <w:rsid w:val="00F906E3"/>
    <w:rsid w:val="00F92D77"/>
    <w:rsid w:val="00F93EAC"/>
    <w:rsid w:val="00F94043"/>
    <w:rsid w:val="00F952FE"/>
    <w:rsid w:val="00F97562"/>
    <w:rsid w:val="00F97F59"/>
    <w:rsid w:val="00FA2CCB"/>
    <w:rsid w:val="00FA457B"/>
    <w:rsid w:val="00FA47CD"/>
    <w:rsid w:val="00FA4897"/>
    <w:rsid w:val="00FA6986"/>
    <w:rsid w:val="00FB0089"/>
    <w:rsid w:val="00FB4BDD"/>
    <w:rsid w:val="00FB74FE"/>
    <w:rsid w:val="00FC102B"/>
    <w:rsid w:val="00FC2272"/>
    <w:rsid w:val="00FC23CC"/>
    <w:rsid w:val="00FC3A2A"/>
    <w:rsid w:val="00FC79B1"/>
    <w:rsid w:val="00FD2E77"/>
    <w:rsid w:val="00FD6649"/>
    <w:rsid w:val="00FE38D0"/>
    <w:rsid w:val="00FE5DF2"/>
    <w:rsid w:val="00FE67F2"/>
    <w:rsid w:val="00FF044D"/>
    <w:rsid w:val="00FF1258"/>
    <w:rsid w:val="00FF1F8E"/>
    <w:rsid w:val="00FF3840"/>
    <w:rsid w:val="00FF3A69"/>
    <w:rsid w:val="00FF65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uiPriority w:val="99"/>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etienne.baudon@expertisefrance.fr" TargetMode="External"/><Relationship Id="rId25" Type="http://schemas.openxmlformats.org/officeDocument/2006/relationships/hyperlink" Target="https://gels-avoirs.dgtresor.gouv.fr/Lis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C891E-BFC1-4BCF-BA52-46D5F77C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18</TotalTime>
  <Pages>21</Pages>
  <Words>6526</Words>
  <Characters>35896</Characters>
  <Application>Microsoft Office Word</Application>
  <DocSecurity>0</DocSecurity>
  <Lines>299</Lines>
  <Paragraphs>84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42338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Morgan ROHEL</cp:lastModifiedBy>
  <cp:revision>8</cp:revision>
  <cp:lastPrinted>2014-11-19T14:39:00Z</cp:lastPrinted>
  <dcterms:created xsi:type="dcterms:W3CDTF">2025-08-01T09:01:00Z</dcterms:created>
  <dcterms:modified xsi:type="dcterms:W3CDTF">2025-08-01T10:39:00Z</dcterms:modified>
</cp:coreProperties>
</file>